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jc w:val="center"/>
        <w:rPr>
          <w:rFonts w:ascii="Verdana" w:hAnsi="Verdana"/>
          <w:sz w:val="20"/>
        </w:rPr>
      </w:pPr>
      <w:r>
        <w:rPr>
          <w:rFonts w:ascii="Verdana" w:hAnsi="Verdana"/>
          <w:sz w:val="20"/>
        </w:rPr>
      </w:r>
    </w:p>
    <w:p>
      <w:pPr>
        <w:pStyle w:val="Normal"/>
        <w:suppressAutoHyphens w:val="false"/>
        <w:spacing w:lineRule="auto" w:line="240"/>
        <w:jc w:val="center"/>
        <w:rPr/>
      </w:pPr>
      <w:r>
        <w:rPr>
          <w:rFonts w:ascii="Verdana" w:hAnsi="Verdana"/>
          <w:b/>
          <w:bCs/>
          <w:sz w:val="20"/>
        </w:rPr>
        <w:t>TERMO DE REFERÊNCIA  - LEI 14.133/21</w:t>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pPr>
      <w:r>
        <w:rPr>
          <w:rFonts w:ascii="Verdana" w:hAnsi="Verdana"/>
          <w:b/>
          <w:bCs/>
          <w:iCs/>
          <w:sz w:val="20"/>
        </w:rPr>
        <w:t>AQUISIÇÃO DE GÊNEROS ALIMENTÍCIOS PARA ATENDER AO PROGRAMA NACIONAL DE ALIMENTAÇÃO ESCOLAR</w:t>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pPr>
      <w:r>
        <w:rPr>
          <w:rFonts w:cs="Arial" w:ascii="Verdana" w:hAnsi="Verdana"/>
          <w:b/>
          <w:bCs/>
          <w:sz w:val="20"/>
        </w:rPr>
        <w:t xml:space="preserve">Processo Administrativo nº </w:t>
      </w:r>
      <w:r>
        <w:rPr>
          <w:rFonts w:ascii="Verdana" w:hAnsi="Verdana"/>
          <w:b/>
          <w:bCs/>
          <w:sz w:val="20"/>
        </w:rPr>
        <w:t>001154/</w:t>
      </w:r>
      <w:r>
        <w:rPr>
          <w:rFonts w:cs="Arial" w:ascii="Verdana" w:hAnsi="Verdana"/>
          <w:b/>
          <w:bCs/>
          <w:sz w:val="20"/>
        </w:rPr>
        <w:t>2026 de 13 de fevereiro de 2026 (Secretaria Municipal de Educação)</w:t>
      </w:r>
    </w:p>
    <w:p>
      <w:pPr>
        <w:pStyle w:val="Normal"/>
        <w:spacing w:lineRule="auto" w:line="240"/>
        <w:jc w:val="center"/>
        <w:rPr>
          <w:rFonts w:ascii="Verdana" w:hAnsi="Verdana"/>
          <w:sz w:val="20"/>
        </w:rPr>
      </w:pPr>
      <w:r>
        <w:rPr>
          <w:rFonts w:ascii="Verdana" w:hAnsi="Verdana"/>
          <w:sz w:val="20"/>
        </w:rPr>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ivel1"/>
        <w:spacing w:lineRule="auto" w:line="240" w:before="0" w:after="0"/>
        <w:rPr/>
      </w:pPr>
      <w:r>
        <w:rPr>
          <w:rFonts w:cs="Times New Roman" w:ascii="Verdana" w:hAnsi="Verdana"/>
          <w:bCs/>
          <w:color w:val="auto"/>
          <w:sz w:val="20"/>
          <w:szCs w:val="20"/>
        </w:rPr>
        <w:t>1. DAS CONDIÇÕES GERAIS DA CONTRATAÇÃO</w:t>
      </w:r>
    </w:p>
    <w:p>
      <w:pPr>
        <w:pStyle w:val="Normal"/>
        <w:tabs>
          <w:tab w:val="clear" w:pos="708"/>
          <w:tab w:val="left" w:pos="50" w:leader="none"/>
          <w:tab w:val="left" w:pos="150" w:leader="none"/>
        </w:tabs>
        <w:spacing w:lineRule="auto" w:line="240"/>
        <w:ind w:left="57"/>
        <w:jc w:val="both"/>
        <w:rPr/>
      </w:pPr>
      <w:r>
        <w:rPr>
          <w:rFonts w:cs="Arial" w:ascii="Verdana" w:hAnsi="Verdana"/>
          <w:iCs/>
          <w:sz w:val="20"/>
        </w:rPr>
        <w:t>1.1. Constitui objeto do presente Termo de Referência, a aquisição por meio de licitação (conforme solicitado pela requerente), de gêneros alimentícios em atendimento ao Programa Nacional de Alimentação Escolar, devidamente relacionados e especificados na solicitação de compras nº 032/2026 e cronogramas em anexo no Estudo Técnico Preliminar e neste Termo de Referência, que já são partes integrantes desse processo.</w:t>
      </w:r>
    </w:p>
    <w:p>
      <w:pPr>
        <w:pStyle w:val="Normal"/>
        <w:tabs>
          <w:tab w:val="clear" w:pos="708"/>
          <w:tab w:val="left" w:pos="50" w:leader="none"/>
          <w:tab w:val="left" w:pos="150" w:leader="none"/>
        </w:tabs>
        <w:spacing w:lineRule="auto" w:line="240"/>
        <w:ind w:left="57"/>
        <w:jc w:val="both"/>
        <w:rPr>
          <w:rFonts w:ascii="Verdana" w:hAnsi="Verdana" w:cs="Arial"/>
          <w:b/>
          <w:sz w:val="20"/>
          <w:u w:val="single"/>
        </w:rPr>
      </w:pPr>
      <w:r>
        <w:rPr>
          <w:rFonts w:cs="Arial" w:ascii="Verdana" w:hAnsi="Verdana"/>
          <w:b/>
          <w:sz w:val="20"/>
          <w:u w:val="single"/>
        </w:rPr>
      </w:r>
    </w:p>
    <w:tbl>
      <w:tblPr>
        <w:tblW w:w="9825"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747"/>
        <w:gridCol w:w="4315"/>
        <w:gridCol w:w="787"/>
        <w:gridCol w:w="976"/>
        <w:gridCol w:w="1463"/>
        <w:gridCol w:w="1536"/>
      </w:tblGrid>
      <w:tr>
        <w:trPr>
          <w:trHeight w:val="919" w:hRule="atLeast"/>
        </w:trPr>
        <w:tc>
          <w:tcPr>
            <w:tcW w:w="747"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cs="Arial" w:ascii="Verdana" w:hAnsi="Verdana"/>
                <w:b/>
                <w:sz w:val="20"/>
              </w:rPr>
              <w:t>Item</w:t>
            </w:r>
          </w:p>
        </w:tc>
        <w:tc>
          <w:tcPr>
            <w:tcW w:w="4315"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cs="Arial" w:ascii="Verdana" w:hAnsi="Verdana"/>
                <w:b/>
                <w:bCs/>
                <w:sz w:val="20"/>
              </w:rPr>
              <w:t>DESCRIÇÃO</w:t>
            </w:r>
          </w:p>
        </w:tc>
        <w:tc>
          <w:tcPr>
            <w:tcW w:w="787" w:type="dxa"/>
            <w:tcBorders>
              <w:top w:val="single" w:sz="8" w:space="0" w:color="000000"/>
              <w:left w:val="single" w:sz="8" w:space="0" w:color="000000"/>
              <w:bottom w:val="single" w:sz="8" w:space="0" w:color="000000"/>
            </w:tcBorders>
            <w:shd w:color="auto" w:fill="FFFFFF" w:val="clear"/>
            <w:vAlign w:val="center"/>
          </w:tcPr>
          <w:p>
            <w:pPr>
              <w:pStyle w:val="Normal"/>
              <w:spacing w:lineRule="auto" w:line="240"/>
              <w:jc w:val="center"/>
              <w:rPr/>
            </w:pPr>
            <w:r>
              <w:rPr>
                <w:rFonts w:ascii="Verdana" w:hAnsi="Verdana"/>
                <w:b/>
                <w:bCs/>
                <w:sz w:val="20"/>
              </w:rPr>
              <w:t>UND.</w:t>
            </w:r>
          </w:p>
        </w:tc>
        <w:tc>
          <w:tcPr>
            <w:tcW w:w="976"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cs="Arial" w:ascii="Verdana" w:hAnsi="Verdana"/>
                <w:b/>
                <w:bCs/>
                <w:sz w:val="20"/>
              </w:rPr>
              <w:t>QTDE.</w:t>
            </w:r>
          </w:p>
        </w:tc>
        <w:tc>
          <w:tcPr>
            <w:tcW w:w="1463"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ind w:hanging="80" w:left="80"/>
              <w:jc w:val="center"/>
              <w:rPr/>
            </w:pPr>
            <w:r>
              <w:rPr>
                <w:rFonts w:cs="Arial" w:ascii="Verdana" w:hAnsi="Verdana"/>
                <w:b/>
                <w:sz w:val="20"/>
              </w:rPr>
              <w:t>Preço Unitário Estimativo</w:t>
            </w:r>
          </w:p>
        </w:tc>
        <w:tc>
          <w:tcPr>
            <w:tcW w:w="1536"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cs="Arial" w:ascii="Verdana" w:hAnsi="Verdana"/>
                <w:b/>
                <w:sz w:val="20"/>
              </w:rPr>
              <w:t>Preço Total Estimado</w:t>
            </w:r>
          </w:p>
        </w:tc>
      </w:tr>
      <w:tr>
        <w:trPr>
          <w:trHeight w:val="269" w:hRule="atLeast"/>
        </w:trPr>
        <w:tc>
          <w:tcPr>
            <w:tcW w:w="747"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cs="Arial" w:ascii="Verdana" w:hAnsi="Verdana"/>
                <w:sz w:val="20"/>
              </w:rPr>
              <w:t>01</w:t>
            </w:r>
          </w:p>
        </w:tc>
        <w:tc>
          <w:tcPr>
            <w:tcW w:w="4315"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widowControl w:val="false"/>
              <w:spacing w:lineRule="auto" w:line="240"/>
              <w:jc w:val="both"/>
              <w:rPr/>
            </w:pPr>
            <w:r>
              <w:rPr>
                <w:rFonts w:eastAsia="Arial" w:cs="Arial" w:ascii="Verdana" w:hAnsi="Verdana"/>
                <w:sz w:val="20"/>
              </w:rPr>
              <w:t>LEITE DE SOJA SEM LACTOSE COMPOSIÇÃO:</w:t>
            </w:r>
          </w:p>
          <w:p>
            <w:pPr>
              <w:pStyle w:val="Normal"/>
              <w:widowControl w:val="false"/>
              <w:spacing w:lineRule="auto" w:line="240"/>
              <w:jc w:val="both"/>
              <w:rPr/>
            </w:pPr>
            <w:r>
              <w:rPr>
                <w:rFonts w:eastAsia="Arial" w:cs="Arial" w:ascii="Verdana" w:hAnsi="Verdana"/>
                <w:sz w:val="20"/>
              </w:rPr>
              <w:t>MISTURA À BASE DE PROTEÍNA ISOLADA DE SOJA (PROTEÍNA ISOLADA DE SOJA, ÓLEO DE PALMA, XAROPE DE MILHO, AÇÚCAR, FOSFATO DE CÁLCIO, CITRATO DE POTÁSSIO, FOSFATO DE POTÁSSIO DIBÁSICO, SAL, FOSFATO DE MAGNÉSIO, ÁCIDO ASCÓRBICO, ÓXIDO DE ZINCO, PIROFOSFATO FÉRRICO, PANTOTENATO DE CÁLCIO, RIBOFLAVINA, VITAMINA A, NIACINAMIDA, VITAMINA B6, MONONITRATO DE TIAMINA, IODETO DE POTÁSSIO, ÁCIDO FÓLICO, VITAMINA D, VITAMINA B12, EMULSIFICANTES LECITINA E MONO E DIGLICERÍDEOS DE ÁCIDOS GRAXOS, AROMATIZANTE E CORANTE NATURAL BETACAROTENO), AÇÚCAR, MALTODEXTRINA E AROMA IDÊNTICO AO NATURAL DE BAUNILHA. EMBALAGEM: LATA DE 300G.  VALIDADE MÍNIMA DE 06 MESES APÓS A ENTREGA.</w:t>
            </w:r>
          </w:p>
        </w:tc>
        <w:tc>
          <w:tcPr>
            <w:tcW w:w="787" w:type="dxa"/>
            <w:tcBorders>
              <w:top w:val="single" w:sz="8" w:space="0" w:color="000000"/>
              <w:left w:val="single" w:sz="8" w:space="0" w:color="000000"/>
              <w:bottom w:val="single" w:sz="8" w:space="0" w:color="000000"/>
            </w:tcBorders>
            <w:shd w:color="auto" w:fill="FFFFFF" w:val="clear"/>
            <w:vAlign w:val="center"/>
          </w:tcPr>
          <w:p>
            <w:pPr>
              <w:pStyle w:val="normal2"/>
              <w:spacing w:lineRule="auto" w:line="240"/>
              <w:jc w:val="center"/>
              <w:rPr/>
            </w:pPr>
            <w:r>
              <w:rPr>
                <w:rFonts w:ascii="Verdana" w:hAnsi="Verdana"/>
                <w:sz w:val="20"/>
                <w:szCs w:val="20"/>
              </w:rPr>
              <w:t>Lata</w:t>
            </w:r>
          </w:p>
        </w:tc>
        <w:tc>
          <w:tcPr>
            <w:tcW w:w="976"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2"/>
              <w:spacing w:lineRule="auto" w:line="240"/>
              <w:jc w:val="center"/>
              <w:rPr/>
            </w:pPr>
            <w:r>
              <w:rPr>
                <w:rFonts w:eastAsia="Arial" w:cs="Arial" w:ascii="Verdana" w:hAnsi="Verdana"/>
                <w:sz w:val="20"/>
                <w:szCs w:val="20"/>
              </w:rPr>
              <w:t>90</w:t>
            </w:r>
          </w:p>
        </w:tc>
        <w:tc>
          <w:tcPr>
            <w:tcW w:w="1463"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ascii="Verdana" w:hAnsi="Verdana"/>
                <w:sz w:val="20"/>
              </w:rPr>
              <w:t>R$ 41,58</w:t>
            </w:r>
          </w:p>
        </w:tc>
        <w:tc>
          <w:tcPr>
            <w:tcW w:w="1536"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ascii="Verdana" w:hAnsi="Verdana"/>
                <w:sz w:val="20"/>
              </w:rPr>
              <w:t>R$ 3.742,20</w:t>
            </w:r>
          </w:p>
        </w:tc>
      </w:tr>
      <w:tr>
        <w:trPr>
          <w:trHeight w:val="269" w:hRule="atLeast"/>
        </w:trPr>
        <w:tc>
          <w:tcPr>
            <w:tcW w:w="747"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cs="Arial" w:ascii="Verdana" w:hAnsi="Verdana"/>
                <w:sz w:val="20"/>
              </w:rPr>
              <w:t>02</w:t>
            </w:r>
          </w:p>
        </w:tc>
        <w:tc>
          <w:tcPr>
            <w:tcW w:w="4315"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Web"/>
              <w:spacing w:lineRule="auto" w:line="240" w:before="240" w:after="240"/>
              <w:ind w:right="100"/>
              <w:jc w:val="both"/>
              <w:rPr/>
            </w:pPr>
            <w:r>
              <w:rPr>
                <w:rFonts w:cs="Arial" w:ascii="Verdana" w:hAnsi="Verdana"/>
                <w:sz w:val="20"/>
                <w:szCs w:val="20"/>
              </w:rPr>
              <w:t>FERMENTO BIOLÓGICO SECO, INSTANTÂNEO, OBTIDO DE CULTURAS PURAS DE LEVEDURA SACCHAROMYCES CEREVISIAS, ISENTO DE SUBSTÂNCIAS ESTRANHAS À COMPOSIÇÃO; CARACTERÍSTICAS ORGANOLETICAS: ASPECTO – PRÓPRIO; COR - PRÓPRIA; CHEIRO – PRÓPRIO; SABOR - PRÓPRIO. O PRODUTO DEVERÁ ESTAR EM CONFORMIDADE COM AS LEIS ESPECIFICAS VIGENTES. ACONDICIONADO EM EMBALAGEM DE 500G. VALIDADE MÍNIMA DE 6 MESES APÓS A ENTREGA.</w:t>
            </w:r>
          </w:p>
          <w:p>
            <w:pPr>
              <w:pStyle w:val="Normal"/>
              <w:spacing w:lineRule="auto" w:line="240"/>
              <w:jc w:val="both"/>
              <w:rPr/>
            </w:pPr>
            <w:r>
              <w:rPr>
                <w:rFonts w:cs="Arial" w:ascii="Verdana" w:hAnsi="Verdana"/>
                <w:sz w:val="20"/>
              </w:rPr>
              <w:t>MARCAS PARA REFERÊNCIA DE QUALIDADE: FREISCHMAN, MAURI E DONA BENTA E OU SIMILARES.</w:t>
            </w:r>
            <w:r>
              <w:rPr>
                <w:rFonts w:eastAsia="Arial" w:cs="Arial" w:ascii="Verdana" w:hAnsi="Verdana"/>
                <w:sz w:val="20"/>
              </w:rPr>
              <w:t>.</w:t>
            </w:r>
          </w:p>
        </w:tc>
        <w:tc>
          <w:tcPr>
            <w:tcW w:w="787" w:type="dxa"/>
            <w:tcBorders>
              <w:top w:val="single" w:sz="8" w:space="0" w:color="000000"/>
              <w:left w:val="single" w:sz="8" w:space="0" w:color="000000"/>
              <w:bottom w:val="single" w:sz="8" w:space="0" w:color="000000"/>
            </w:tcBorders>
            <w:shd w:color="auto" w:fill="FFFFFF" w:val="clear"/>
            <w:vAlign w:val="center"/>
          </w:tcPr>
          <w:p>
            <w:pPr>
              <w:pStyle w:val="normal2"/>
              <w:spacing w:lineRule="auto" w:line="240"/>
              <w:jc w:val="center"/>
              <w:rPr/>
            </w:pPr>
            <w:r>
              <w:rPr>
                <w:rFonts w:ascii="Verdana" w:hAnsi="Verdana"/>
                <w:sz w:val="20"/>
                <w:szCs w:val="20"/>
              </w:rPr>
              <w:t>Und</w:t>
            </w:r>
          </w:p>
        </w:tc>
        <w:tc>
          <w:tcPr>
            <w:tcW w:w="976"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2"/>
              <w:spacing w:lineRule="auto" w:line="240"/>
              <w:jc w:val="center"/>
              <w:rPr/>
            </w:pPr>
            <w:r>
              <w:rPr>
                <w:rFonts w:eastAsia="Arial" w:cs="Arial" w:ascii="Verdana" w:hAnsi="Verdana"/>
                <w:sz w:val="20"/>
                <w:szCs w:val="20"/>
              </w:rPr>
              <w:t>120</w:t>
            </w:r>
          </w:p>
        </w:tc>
        <w:tc>
          <w:tcPr>
            <w:tcW w:w="1463"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ascii="Verdana" w:hAnsi="Verdana"/>
                <w:sz w:val="20"/>
              </w:rPr>
              <w:t>R$ 31,50</w:t>
            </w:r>
          </w:p>
        </w:tc>
        <w:tc>
          <w:tcPr>
            <w:tcW w:w="1536" w:type="dxa"/>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jc w:val="center"/>
              <w:rPr/>
            </w:pPr>
            <w:r>
              <w:rPr>
                <w:rFonts w:ascii="Verdana" w:hAnsi="Verdana"/>
                <w:sz w:val="20"/>
              </w:rPr>
              <w:t>R$ 3.780,00</w:t>
            </w:r>
          </w:p>
        </w:tc>
      </w:tr>
      <w:tr>
        <w:trPr>
          <w:trHeight w:val="269" w:hRule="atLeast"/>
        </w:trPr>
        <w:tc>
          <w:tcPr>
            <w:tcW w:w="9824" w:type="dxa"/>
            <w:gridSpan w:val="6"/>
            <w:tcBorders>
              <w:top w:val="single" w:sz="8" w:space="0" w:color="000000"/>
              <w:left w:val="single" w:sz="8" w:space="0" w:color="000000"/>
              <w:bottom w:val="single" w:sz="8" w:space="0" w:color="000000"/>
              <w:right w:val="single" w:sz="8" w:space="0" w:color="000000"/>
            </w:tcBorders>
            <w:shd w:color="auto" w:fill="FFFFFF" w:val="clear"/>
            <w:vAlign w:val="center"/>
          </w:tcPr>
          <w:p>
            <w:pPr>
              <w:pStyle w:val="Normal"/>
              <w:spacing w:lineRule="auto" w:line="240"/>
              <w:rPr>
                <w:rFonts w:ascii="Verdana" w:hAnsi="Verdana" w:cs="Arial"/>
                <w:sz w:val="20"/>
              </w:rPr>
            </w:pPr>
            <w:r>
              <w:rPr>
                <w:rFonts w:cs="Arial" w:ascii="Verdana" w:hAnsi="Verdana"/>
                <w:sz w:val="20"/>
              </w:rPr>
            </w:r>
          </w:p>
          <w:p>
            <w:pPr>
              <w:pStyle w:val="Normal"/>
              <w:spacing w:lineRule="auto" w:line="240"/>
              <w:rPr/>
            </w:pPr>
            <w:r>
              <w:rPr>
                <w:rFonts w:cs="Arial" w:ascii="Verdana" w:hAnsi="Verdana"/>
                <w:sz w:val="20"/>
              </w:rPr>
              <w:t>VALOR ESTIMADO TOTAL:</w:t>
            </w:r>
            <w:r>
              <w:rPr>
                <w:rFonts w:cs="Arial" w:ascii="Verdana" w:hAnsi="Verdana"/>
                <w:b/>
                <w:bCs/>
                <w:sz w:val="20"/>
              </w:rPr>
              <w:t xml:space="preserve"> R$ 7.522,20 (sete mil quinhentos e vinte e dois reais e vinte centavos)</w:t>
            </w:r>
          </w:p>
          <w:p>
            <w:pPr>
              <w:pStyle w:val="Normal"/>
              <w:spacing w:lineRule="auto" w:line="240"/>
              <w:rPr>
                <w:rFonts w:ascii="Verdana" w:hAnsi="Verdana" w:cs="Arial"/>
                <w:b/>
                <w:bCs/>
                <w:sz w:val="20"/>
              </w:rPr>
            </w:pPr>
            <w:r>
              <w:rPr>
                <w:rFonts w:cs="Arial" w:ascii="Verdana" w:hAnsi="Verdana"/>
                <w:b/>
                <w:bCs/>
                <w:sz w:val="20"/>
              </w:rPr>
            </w:r>
          </w:p>
        </w:tc>
      </w:tr>
    </w:tbl>
    <w:p>
      <w:pPr>
        <w:pStyle w:val="Normal"/>
        <w:tabs>
          <w:tab w:val="clear" w:pos="708"/>
          <w:tab w:val="left" w:pos="50" w:leader="none"/>
          <w:tab w:val="left" w:pos="150" w:leader="none"/>
        </w:tabs>
        <w:spacing w:lineRule="auto" w:line="240"/>
        <w:ind w:left="57"/>
        <w:jc w:val="both"/>
        <w:rPr>
          <w:rFonts w:ascii="Verdana" w:hAnsi="Verdana" w:cs="Arial"/>
          <w:b/>
          <w:sz w:val="20"/>
          <w:u w:val="single"/>
        </w:rPr>
      </w:pPr>
      <w:r>
        <w:rPr>
          <w:rFonts w:cs="Arial" w:ascii="Verdana" w:hAnsi="Verdana"/>
          <w:b/>
          <w:sz w:val="20"/>
          <w:u w:val="single"/>
        </w:rPr>
      </w:r>
    </w:p>
    <w:p>
      <w:pPr>
        <w:pStyle w:val="Normal"/>
        <w:suppressAutoHyphens w:val="false"/>
        <w:spacing w:lineRule="auto" w:line="240"/>
        <w:ind w:left="-22"/>
        <w:jc w:val="both"/>
        <w:rPr/>
      </w:pPr>
      <w:r>
        <w:rPr>
          <w:rFonts w:ascii="Verdana" w:hAnsi="Verdana"/>
          <w:iCs/>
          <w:sz w:val="20"/>
        </w:rPr>
        <w:t>1.2. Os produtos propostos deverão, obrigatoriamente, atender as exigências de qualidade, observados os padrões e normas baixadas pelos órgãos competentes de controle e fiscalização de qualidade industrial em especial ANVISA ou equiparadas.</w:t>
      </w:r>
    </w:p>
    <w:p>
      <w:pPr>
        <w:pStyle w:val="Normal"/>
        <w:suppressAutoHyphens w:val="false"/>
        <w:spacing w:lineRule="auto" w:line="240"/>
        <w:ind w:left="-22"/>
        <w:jc w:val="both"/>
        <w:rPr/>
      </w:pPr>
      <w:r>
        <w:rPr>
          <w:rFonts w:ascii="Verdana" w:hAnsi="Verdana"/>
          <w:iCs/>
          <w:sz w:val="20"/>
        </w:rPr>
        <w:t>1.3.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uppressAutoHyphens w:val="false"/>
        <w:spacing w:lineRule="auto" w:line="240"/>
        <w:ind w:left="-22"/>
        <w:jc w:val="both"/>
        <w:rPr/>
      </w:pPr>
      <w:r>
        <w:rPr>
          <w:rFonts w:ascii="Verdana" w:hAnsi="Verdana"/>
          <w:iCs/>
          <w:sz w:val="20"/>
        </w:rPr>
        <w:t xml:space="preserve">1.4. </w:t>
      </w:r>
      <w:bookmarkStart w:id="0" w:name="art23§711"/>
      <w:r>
        <w:rPr>
          <w:rFonts w:cs="Arial" w:ascii="Verdana" w:hAnsi="Verdana"/>
          <w:iCs/>
          <w:sz w:val="20"/>
        </w:rPr>
        <w:t>Os insumos necessários às embalagens e para as entregas serão fornecidos pela Contratada.</w:t>
      </w:r>
    </w:p>
    <w:p>
      <w:pPr>
        <w:pStyle w:val="ListParagraph"/>
        <w:suppressAutoHyphens w:val="false"/>
        <w:spacing w:lineRule="auto" w:line="240"/>
        <w:ind w:left="-22"/>
        <w:jc w:val="both"/>
        <w:rPr/>
      </w:pPr>
      <w:r>
        <w:rPr>
          <w:rFonts w:ascii="Verdana" w:hAnsi="Verdana"/>
          <w:iCs/>
          <w:sz w:val="20"/>
          <w:szCs w:val="20"/>
        </w:rPr>
        <w:t xml:space="preserve">1.5. </w:t>
      </w:r>
      <w:r>
        <w:rPr>
          <w:rFonts w:cs="Arial" w:ascii="Verdana" w:hAnsi="Verdana"/>
          <w:bCs/>
          <w:iCs/>
          <w:sz w:val="20"/>
          <w:szCs w:val="20"/>
        </w:rPr>
        <w:t xml:space="preserve">O prazo de vigência da contratação será </w:t>
      </w:r>
      <w:r>
        <w:rPr>
          <w:rFonts w:eastAsia="Times New Roman" w:cs="Arial" w:ascii="Verdana" w:hAnsi="Verdana"/>
          <w:bCs/>
          <w:iCs/>
          <w:sz w:val="20"/>
          <w:szCs w:val="20"/>
        </w:rPr>
        <w:t>contado da data da assinatura e término  em 30 dias após a última entrega fixada em cronograma anexo</w:t>
      </w:r>
      <w:r>
        <w:rPr>
          <w:rFonts w:cs="Arial" w:ascii="Verdana" w:hAnsi="Verdana"/>
          <w:bCs/>
          <w:iCs/>
          <w:sz w:val="20"/>
          <w:szCs w:val="20"/>
        </w:rPr>
        <w:t>.</w:t>
      </w:r>
    </w:p>
    <w:p>
      <w:pPr>
        <w:pStyle w:val="ListParagraph"/>
        <w:tabs>
          <w:tab w:val="clear" w:pos="708"/>
          <w:tab w:val="left" w:pos="0" w:leader="none"/>
        </w:tabs>
        <w:suppressAutoHyphens w:val="false"/>
        <w:spacing w:lineRule="auto" w:line="240"/>
        <w:ind w:left="0"/>
        <w:jc w:val="both"/>
        <w:rPr/>
      </w:pPr>
      <w:r>
        <w:rPr>
          <w:rFonts w:eastAsia="Times New Roman" w:cs="Times New Roman" w:ascii="Verdana" w:hAnsi="Verdana"/>
          <w:iCs/>
          <w:sz w:val="20"/>
          <w:szCs w:val="20"/>
        </w:rPr>
        <w:t>1.6. O custo estimado total da contratação é de</w:t>
      </w:r>
      <w:r>
        <w:rPr>
          <w:rFonts w:eastAsia="Times New Roman" w:cs="Arial" w:ascii="Verdana" w:hAnsi="Verdana"/>
          <w:sz w:val="20"/>
          <w:szCs w:val="20"/>
        </w:rPr>
        <w:t xml:space="preserve"> R$ 7.522,20 (sete mil quinhentos e vinte e dois reais e vinte centavos), </w:t>
      </w:r>
      <w:r>
        <w:rPr>
          <w:rFonts w:eastAsia="Times New Roman" w:cs="Times New Roman" w:ascii="Verdana" w:hAnsi="Verdana"/>
          <w:sz w:val="20"/>
          <w:szCs w:val="20"/>
        </w:rPr>
        <w:t>conforme custos un</w:t>
      </w:r>
      <w:r>
        <w:rPr>
          <w:rFonts w:eastAsia="Times New Roman" w:cs="Times New Roman" w:ascii="Verdana" w:hAnsi="Verdana"/>
          <w:sz w:val="20"/>
          <w:szCs w:val="20"/>
          <w:u w:val="single"/>
        </w:rPr>
        <w:t>i</w:t>
      </w:r>
      <w:r>
        <w:rPr>
          <w:rFonts w:eastAsia="Times New Roman" w:cs="Times New Roman" w:ascii="Verdana" w:hAnsi="Verdana"/>
          <w:sz w:val="20"/>
          <w:szCs w:val="20"/>
        </w:rPr>
        <w:t>tários apostos nos orçamentos e no quadro comparativo de preços si</w:t>
      </w:r>
      <w:r>
        <w:rPr>
          <w:rFonts w:eastAsia="Times New Roman" w:cs="Times New Roman" w:ascii="Verdana" w:hAnsi="Verdana"/>
          <w:iCs/>
          <w:sz w:val="20"/>
          <w:szCs w:val="20"/>
        </w:rPr>
        <w:t>mples em anexo.</w:t>
      </w:r>
    </w:p>
    <w:p>
      <w:pPr>
        <w:pStyle w:val="Nivel1"/>
        <w:spacing w:lineRule="auto" w:line="240" w:before="0" w:after="0"/>
        <w:rPr/>
      </w:pPr>
      <w:r>
        <w:rPr>
          <w:rFonts w:cs="Times New Roman" w:ascii="Verdana" w:hAnsi="Verdana"/>
          <w:bCs/>
          <w:color w:val="auto"/>
          <w:sz w:val="20"/>
          <w:szCs w:val="20"/>
        </w:rPr>
        <w:t>2. FUNDAMENTAÇÃO E DESCRIÇÃO DA NECESSIDADE DA AQUISIÇÃO</w:t>
      </w:r>
    </w:p>
    <w:p>
      <w:pPr>
        <w:pStyle w:val="ListParagraph"/>
        <w:spacing w:lineRule="auto" w:line="240" w:before="0" w:after="0"/>
        <w:ind w:left="0"/>
        <w:contextualSpacing/>
        <w:jc w:val="both"/>
        <w:rPr/>
      </w:pPr>
      <w:r>
        <w:rPr>
          <w:rFonts w:cs="Arial" w:ascii="Verdana" w:hAnsi="Verdana"/>
          <w:sz w:val="20"/>
          <w:szCs w:val="20"/>
        </w:rPr>
        <w:t xml:space="preserve">2.1. </w:t>
      </w:r>
      <w:bookmarkStart w:id="1" w:name="_Hlk170988156"/>
      <w:r>
        <w:rPr>
          <w:rFonts w:ascii="Verdana" w:hAnsi="Verdana"/>
          <w:sz w:val="20"/>
          <w:szCs w:val="20"/>
        </w:rPr>
        <w:t>A Fundamentação da Contratação e de seus quantitativos encontra-se pormenorizada em tópico específico dos Estudos Técnicos Preliminares, apêndice deste Termo de Referência.</w:t>
      </w:r>
      <w:bookmarkEnd w:id="1"/>
    </w:p>
    <w:p>
      <w:pPr>
        <w:pStyle w:val="ListParagraph"/>
        <w:spacing w:lineRule="auto" w:line="240" w:before="0" w:after="0"/>
        <w:ind w:left="0"/>
        <w:contextualSpacing/>
        <w:jc w:val="both"/>
        <w:rPr>
          <w:rFonts w:ascii="Verdana" w:hAnsi="Verdana"/>
          <w:sz w:val="20"/>
          <w:szCs w:val="20"/>
        </w:rPr>
      </w:pPr>
      <w:r>
        <w:rPr>
          <w:rFonts w:ascii="Verdana" w:hAnsi="Verdana"/>
          <w:sz w:val="20"/>
          <w:szCs w:val="20"/>
        </w:rPr>
      </w:r>
    </w:p>
    <w:p>
      <w:pPr>
        <w:pStyle w:val="Nivel1"/>
        <w:spacing w:lineRule="auto" w:line="240" w:before="0" w:after="0"/>
        <w:rPr/>
      </w:pPr>
      <w:r>
        <w:rPr>
          <w:rFonts w:ascii="Verdana" w:hAnsi="Verdana"/>
          <w:bCs/>
          <w:color w:val="auto"/>
          <w:sz w:val="20"/>
          <w:szCs w:val="20"/>
        </w:rPr>
        <w:t>3</w:t>
      </w:r>
      <w:r>
        <w:rPr>
          <w:rFonts w:ascii="Verdana" w:hAnsi="Verdana"/>
          <w:color w:val="auto"/>
          <w:sz w:val="20"/>
          <w:szCs w:val="20"/>
        </w:rPr>
        <w:t>. DESCRIÇÃO DA SOLUÇÃO</w:t>
      </w:r>
    </w:p>
    <w:p>
      <w:pPr>
        <w:pStyle w:val="Normal"/>
        <w:spacing w:lineRule="auto" w:line="240"/>
        <w:ind w:right="143"/>
        <w:jc w:val="both"/>
        <w:rPr/>
      </w:pPr>
      <w:r>
        <w:rPr>
          <w:rFonts w:cs="Arial" w:ascii="Verdana" w:hAnsi="Verdana"/>
          <w:sz w:val="20"/>
        </w:rPr>
        <w:t xml:space="preserve">3.1 </w:t>
      </w:r>
      <w:bookmarkStart w:id="2" w:name="_Ref121236534"/>
      <w:r>
        <w:rPr>
          <w:rFonts w:cs="Arial" w:ascii="Verdana" w:hAnsi="Verdana"/>
          <w:sz w:val="20"/>
        </w:rPr>
        <w:t>A descrição da solução como um todo se encontra pormenorizada em tópico específico dos Estudos Técnicos Preliminares, apêndice deste Termo de Referência.</w:t>
      </w:r>
      <w:bookmarkEnd w:id="2"/>
    </w:p>
    <w:p>
      <w:pPr>
        <w:pStyle w:val="Normal"/>
        <w:spacing w:lineRule="auto" w:line="240"/>
        <w:ind w:right="143"/>
        <w:jc w:val="both"/>
        <w:rPr>
          <w:rFonts w:ascii="Verdana" w:hAnsi="Verdana" w:cs="Arial"/>
          <w:sz w:val="20"/>
        </w:rPr>
      </w:pPr>
      <w:r>
        <w:rPr>
          <w:rFonts w:cs="Arial" w:ascii="Verdana" w:hAnsi="Verdana"/>
          <w:sz w:val="20"/>
        </w:rPr>
      </w:r>
    </w:p>
    <w:p>
      <w:pPr>
        <w:pStyle w:val="Nivel1"/>
        <w:spacing w:lineRule="auto" w:line="240" w:before="0" w:after="0"/>
        <w:rPr/>
      </w:pPr>
      <w:r>
        <w:rPr>
          <w:rFonts w:cs="Times New Roman" w:ascii="Verdana" w:hAnsi="Verdana"/>
          <w:bCs/>
          <w:color w:val="auto"/>
          <w:sz w:val="20"/>
          <w:szCs w:val="20"/>
        </w:rPr>
        <w:t>4. REQUISITOS DA CONTRATAÇÃO</w:t>
      </w:r>
    </w:p>
    <w:p>
      <w:pPr>
        <w:pStyle w:val="Normal"/>
        <w:spacing w:lineRule="auto" w:line="240"/>
        <w:jc w:val="both"/>
        <w:rPr/>
      </w:pPr>
      <w:r>
        <w:rPr>
          <w:rFonts w:ascii="Verdana" w:hAnsi="Verdana"/>
          <w:sz w:val="20"/>
        </w:rPr>
        <w:t>4.1 Fornecimento de gêneros alimentícios em atendimento ao PNAE - Programa Nacional de Alimentação Escolar, para as Unidades escolares vinculadas à Secretaria de Educação. A CONTRATADA deve:</w:t>
      </w:r>
    </w:p>
    <w:p>
      <w:pPr>
        <w:pStyle w:val="Normal"/>
        <w:tabs>
          <w:tab w:val="clear" w:pos="708"/>
          <w:tab w:val="left" w:pos="3390" w:leader="none"/>
          <w:tab w:val="center" w:pos="5032" w:leader="none"/>
        </w:tabs>
        <w:spacing w:lineRule="auto" w:line="240"/>
        <w:jc w:val="both"/>
        <w:rPr/>
      </w:pPr>
      <w:r>
        <w:rPr>
          <w:rFonts w:ascii="Verdana" w:hAnsi="Verdana"/>
          <w:sz w:val="20"/>
        </w:rPr>
        <w:t>a)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40"/>
        <w:ind w:left="110"/>
        <w:jc w:val="both"/>
        <w:rPr/>
      </w:pPr>
      <w:r>
        <w:rPr>
          <w:rFonts w:ascii="Verdana" w:hAnsi="Verdana"/>
          <w:sz w:val="20"/>
        </w:rPr>
        <w:t>b) Os insumos necessários às embalagens e para as entregas serão fornecidos pela contratada.</w:t>
      </w:r>
    </w:p>
    <w:p>
      <w:pPr>
        <w:pStyle w:val="Normal"/>
        <w:spacing w:lineRule="auto" w:line="240"/>
        <w:jc w:val="both"/>
        <w:rPr/>
      </w:pPr>
      <w:r>
        <w:rPr>
          <w:rFonts w:ascii="Verdana" w:hAnsi="Verdana"/>
          <w:sz w:val="20"/>
          <w:highlight w:val="white"/>
        </w:rPr>
        <w:t xml:space="preserve">c) A contratada deverá cumprir com as entregas de acordo com o cronograma com as datas e quantidades anexado ao contrato. </w:t>
      </w:r>
    </w:p>
    <w:p>
      <w:pPr>
        <w:pStyle w:val="Normal"/>
        <w:spacing w:lineRule="auto" w:line="240"/>
        <w:jc w:val="both"/>
        <w:rPr/>
      </w:pPr>
      <w:r>
        <w:rPr>
          <w:rFonts w:ascii="Verdana" w:hAnsi="Verdana"/>
          <w:b/>
          <w:sz w:val="20"/>
        </w:rPr>
        <w:t>4.2 Da qualificação técnica.</w:t>
      </w:r>
    </w:p>
    <w:p>
      <w:pPr>
        <w:pStyle w:val="Normal"/>
        <w:spacing w:lineRule="auto" w:line="240"/>
        <w:jc w:val="both"/>
        <w:rPr/>
      </w:pPr>
      <w:r>
        <w:rPr>
          <w:rFonts w:ascii="Verdana" w:hAnsi="Verdana"/>
          <w:b/>
          <w:sz w:val="20"/>
        </w:rPr>
        <w:t>4.2.1.</w:t>
      </w:r>
      <w:r>
        <w:rPr>
          <w:rFonts w:ascii="Verdana" w:hAnsi="Verdana"/>
          <w:sz w:val="20"/>
        </w:rPr>
        <w:t xml:space="preserve"> Comprovação de aptidão para desempenho de atividade pertinente e compatível com o objeto desta licitação, mediante apresentação de atestado de capacidade técnica, expedido por pessoa jurídica de direito público ou privado, compatíveis com o objeto desta licitação, devidamente assinado pela pessoa responsável.</w:t>
      </w:r>
    </w:p>
    <w:p>
      <w:pPr>
        <w:pStyle w:val="Normal"/>
        <w:spacing w:lineRule="auto" w:line="240"/>
        <w:jc w:val="both"/>
        <w:rPr/>
      </w:pPr>
      <w:r>
        <w:rPr>
          <w:rFonts w:ascii="Verdana" w:hAnsi="Verdana"/>
          <w:b/>
          <w:sz w:val="20"/>
        </w:rPr>
        <w:t>4.3. Dos requisitos temporais.</w:t>
      </w:r>
    </w:p>
    <w:p>
      <w:pPr>
        <w:pStyle w:val="Normal"/>
        <w:spacing w:lineRule="auto" w:line="240"/>
        <w:jc w:val="both"/>
        <w:rPr/>
      </w:pPr>
      <w:r>
        <w:rPr>
          <w:rFonts w:ascii="Verdana" w:hAnsi="Verdana"/>
          <w:sz w:val="20"/>
        </w:rPr>
        <w:t xml:space="preserve">a) </w:t>
      </w:r>
      <w:r>
        <w:rPr>
          <w:rFonts w:ascii="Verdana" w:hAnsi="Verdana"/>
          <w:sz w:val="20"/>
          <w:highlight w:val="white"/>
        </w:rPr>
        <w:t xml:space="preserve">A contratada deverá cumprir com as entregas de acordo com o cronograma anexado aos autos com as datas estipuladas e quantidades, que deverá ser anexado ao contrato, de acordo com levantamento e em respeito ao cardápio escolar realizado pela nutricionista. </w:t>
      </w:r>
    </w:p>
    <w:p>
      <w:pPr>
        <w:pStyle w:val="Normal"/>
        <w:spacing w:lineRule="auto" w:line="240"/>
        <w:jc w:val="both"/>
        <w:rPr>
          <w:rFonts w:ascii="Verdana" w:hAnsi="Verdana"/>
          <w:b/>
          <w:sz w:val="20"/>
        </w:rPr>
      </w:pPr>
      <w:r>
        <w:rPr>
          <w:rFonts w:ascii="Verdana" w:hAnsi="Verdana"/>
          <w:b/>
          <w:sz w:val="20"/>
        </w:rPr>
      </w:r>
    </w:p>
    <w:p>
      <w:pPr>
        <w:pStyle w:val="Nivel1"/>
        <w:suppressAutoHyphens w:val="true"/>
        <w:spacing w:lineRule="auto" w:line="240" w:before="0" w:after="0"/>
        <w:rPr/>
      </w:pPr>
      <w:r>
        <w:rPr>
          <w:rFonts w:ascii="Verdana" w:hAnsi="Verdana"/>
          <w:color w:val="auto"/>
          <w:sz w:val="20"/>
          <w:szCs w:val="20"/>
        </w:rPr>
        <w:t>5. ENTREGA E CRITÉRIOS DE ACEITAÇÃO DO OBJETO.</w:t>
      </w:r>
    </w:p>
    <w:p>
      <w:pPr>
        <w:pStyle w:val="Normal"/>
        <w:spacing w:lineRule="auto" w:line="240"/>
        <w:ind w:left="110"/>
        <w:jc w:val="both"/>
        <w:rPr/>
      </w:pPr>
      <w:r>
        <w:rPr>
          <w:rFonts w:ascii="Verdana" w:hAnsi="Verdana"/>
          <w:sz w:val="20"/>
        </w:rPr>
        <w:t>a) Os gêneros perecíveis deverão ser apresentados no depósito do SEMAE, localizado na Rua Eli Cardoso, s/nº, Bairro Santa Cecília (Escola Irmã Adelaide Bertocchi - Polivalente), nesta cidade, juntamente com a Nota Fiscal para avaliação da qualidade e conferência do item com a descrição solicitada no Edital de Licitação; após, serão liberados para serem entregues diretamente nas escolas conforme cronogramas de entrega;</w:t>
      </w:r>
    </w:p>
    <w:p>
      <w:pPr>
        <w:pStyle w:val="Normal"/>
        <w:spacing w:lineRule="auto" w:line="240"/>
        <w:ind w:left="110"/>
        <w:jc w:val="both"/>
        <w:rPr/>
      </w:pPr>
      <w:r>
        <w:rPr>
          <w:rFonts w:ascii="Verdana" w:hAnsi="Verdana"/>
          <w:sz w:val="20"/>
        </w:rPr>
        <w:t>b) Os gêneros não perecíveis deverão ser entregues diretamente no depósito do SEMAE, localizado na Rua Eli Cardoso, s/nº, Bairro Santa Cecília - (Escola Irmã Adelaide Bertocchi - Polivalente), nesta cidade, juntamente com a Nota Fiscal conforme cronograma de entrega.</w:t>
      </w:r>
    </w:p>
    <w:p>
      <w:pPr>
        <w:pStyle w:val="Normal"/>
        <w:spacing w:lineRule="auto" w:line="240"/>
        <w:ind w:left="110"/>
        <w:jc w:val="both"/>
        <w:rPr/>
      </w:pPr>
      <w:r>
        <w:rPr>
          <w:rFonts w:ascii="Verdana" w:hAnsi="Verdana"/>
          <w:sz w:val="20"/>
        </w:rPr>
        <w:t>c)A entrega deverá ocorrer sem qualquer ônus adicional, bem como a descarga e todas as demais despesas provenientes da mesma.</w:t>
      </w:r>
    </w:p>
    <w:p>
      <w:pPr>
        <w:pStyle w:val="Normal"/>
        <w:spacing w:lineRule="auto" w:line="240"/>
        <w:ind w:left="110"/>
        <w:jc w:val="both"/>
        <w:rPr/>
      </w:pPr>
      <w:r>
        <w:rPr>
          <w:rFonts w:ascii="Verdana" w:hAnsi="Verdana"/>
          <w:sz w:val="20"/>
        </w:rPr>
        <w:t>d)A Empresa vencedora garantirá a qualidade dos materiais obrigando-se a repor aquele que apresentar defeito ou for entregue em desacordo com o apresentado na proposta.</w:t>
      </w:r>
    </w:p>
    <w:p>
      <w:pPr>
        <w:pStyle w:val="Normal"/>
        <w:spacing w:lineRule="auto" w:line="240"/>
        <w:ind w:left="110"/>
        <w:jc w:val="both"/>
        <w:rPr/>
      </w:pPr>
      <w:r>
        <w:rPr>
          <w:rFonts w:ascii="Verdana" w:hAnsi="Verdana"/>
          <w:sz w:val="20"/>
        </w:rPr>
        <w:t>e)Os itens deverão ser entregues dentro do horário de expediente do setor de alimentação escolar e das escolas sendo de 7h às 17h, observando feriados e pontos facultativos.</w:t>
      </w:r>
    </w:p>
    <w:p>
      <w:pPr>
        <w:pStyle w:val="Normal"/>
        <w:spacing w:lineRule="auto" w:line="240"/>
        <w:ind w:left="110"/>
        <w:jc w:val="both"/>
        <w:rPr/>
      </w:pPr>
      <w:r>
        <w:rPr>
          <w:rFonts w:ascii="Verdana" w:hAnsi="Verdana"/>
          <w:sz w:val="20"/>
        </w:rPr>
        <w:t xml:space="preserve">f)A Empresa vencedora garantirá a qualidade dos itens obrigando-se a repor aquele que apresentar defeito ou for entregue em desacordo com o apresentado na proposta; </w:t>
      </w:r>
    </w:p>
    <w:p>
      <w:pPr>
        <w:pStyle w:val="Normal"/>
        <w:spacing w:lineRule="auto" w:line="240"/>
        <w:ind w:left="110"/>
        <w:jc w:val="both"/>
        <w:rPr/>
      </w:pPr>
      <w:r>
        <w:rPr>
          <w:rFonts w:ascii="Verdana" w:hAnsi="Verdana"/>
          <w:sz w:val="20"/>
        </w:rPr>
        <w:t>g)O material deverá ser entregue nas mesmas marcas indicadas nas propostas de preços vencedoras do certame e especificações constantes nas solicitações de compras.</w:t>
      </w:r>
    </w:p>
    <w:p>
      <w:pPr>
        <w:pStyle w:val="Normal"/>
        <w:spacing w:lineRule="auto" w:line="240"/>
        <w:ind w:left="110"/>
        <w:jc w:val="both"/>
        <w:rPr/>
      </w:pPr>
      <w:r>
        <w:rPr>
          <w:rFonts w:ascii="Verdana" w:hAnsi="Verdana"/>
          <w:sz w:val="20"/>
        </w:rPr>
        <w:t>h)O recebimento provisório do material entregue dar-se-á pela conferência com a descrição constante da ordem de fornecimento ou serviço;</w:t>
      </w:r>
    </w:p>
    <w:p>
      <w:pPr>
        <w:pStyle w:val="Normal"/>
        <w:spacing w:lineRule="auto" w:line="240"/>
        <w:ind w:left="110"/>
        <w:jc w:val="both"/>
        <w:rPr/>
      </w:pPr>
      <w:r>
        <w:rPr>
          <w:rFonts w:ascii="Verdana" w:hAnsi="Verdana"/>
          <w:sz w:val="20"/>
        </w:rPr>
        <w:t>i) O recebimento definitivo ocorrerá com a verificação integral de todos os itens e características do produto fornecido pela CONTRATADA;</w:t>
      </w:r>
    </w:p>
    <w:p>
      <w:pPr>
        <w:pStyle w:val="Normal"/>
        <w:spacing w:lineRule="auto" w:line="240"/>
        <w:ind w:left="110"/>
        <w:jc w:val="both"/>
        <w:rPr/>
      </w:pPr>
      <w:r>
        <w:rPr>
          <w:rFonts w:ascii="Verdana" w:hAnsi="Verdana"/>
          <w:sz w:val="20"/>
        </w:rPr>
        <w:t>j) O recebimento definitivo não isenta a CONTRATADA de responsabilidades futuras quanto à qualidade dos fornecimentos e serviços prestados.</w:t>
      </w:r>
    </w:p>
    <w:p>
      <w:pPr>
        <w:pStyle w:val="Normal"/>
        <w:spacing w:lineRule="auto" w:line="240"/>
        <w:ind w:left="110"/>
        <w:jc w:val="both"/>
        <w:rPr/>
      </w:pPr>
      <w:r>
        <w:rPr>
          <w:rFonts w:cs="Arial" w:ascii="Verdana" w:hAnsi="Verdana"/>
          <w:sz w:val="20"/>
        </w:rPr>
        <w:t>k) O recebimento provisório dos produtos não implica em aceitação dos mesmos;</w:t>
      </w:r>
    </w:p>
    <w:p>
      <w:pPr>
        <w:pStyle w:val="Normal"/>
        <w:spacing w:lineRule="auto" w:line="240"/>
        <w:ind w:left="110"/>
        <w:jc w:val="both"/>
        <w:rPr/>
      </w:pPr>
      <w:r>
        <w:rPr>
          <w:rFonts w:ascii="Verdana" w:hAnsi="Verdana"/>
          <w:sz w:val="20"/>
        </w:rPr>
        <w:t>l) Os produtos que não estiverem de acordo com as especificações exigidas, apresentem vício de qualidade ou impropriedade para o uso, serão recusadas e devolvidas parcial ou totalmente, conforme caso, ficando a CONTRATADA, obrigada a substituí-los no prazo de 5 (cinco) dias úteis, contadas do recebimento da notificação escrita, sob pena de incorrer em atraso quanto ao prazo de execução;</w:t>
      </w:r>
    </w:p>
    <w:p>
      <w:pPr>
        <w:pStyle w:val="Normal"/>
        <w:spacing w:lineRule="auto" w:line="240"/>
        <w:ind w:left="110"/>
        <w:jc w:val="both"/>
        <w:rPr/>
      </w:pPr>
      <w:r>
        <w:rPr>
          <w:rFonts w:ascii="Verdana" w:hAnsi="Verdana"/>
          <w:sz w:val="20"/>
        </w:rPr>
        <w:t>m) Havendo erro na Nota Fiscal ou outra circunstância impeditiva, o recebimento definitivo será suspenso, até que a empresa tome as medidas saneadoras necessárias;</w:t>
      </w:r>
    </w:p>
    <w:p>
      <w:pPr>
        <w:pStyle w:val="Normal"/>
        <w:spacing w:lineRule="auto" w:line="240"/>
        <w:ind w:left="110"/>
        <w:jc w:val="both"/>
        <w:rPr/>
      </w:pPr>
      <w:r>
        <w:rPr>
          <w:rFonts w:ascii="Verdana" w:hAnsi="Verdana"/>
          <w:b/>
          <w:sz w:val="20"/>
        </w:rPr>
        <w:t>5.1 Das Amostras</w:t>
      </w:r>
    </w:p>
    <w:p>
      <w:pPr>
        <w:pStyle w:val="Normal"/>
        <w:spacing w:lineRule="auto" w:line="240"/>
        <w:ind w:left="110"/>
        <w:jc w:val="both"/>
        <w:rPr/>
      </w:pPr>
      <w:r>
        <w:rPr>
          <w:rFonts w:ascii="Verdana" w:hAnsi="Verdana"/>
          <w:sz w:val="20"/>
        </w:rPr>
        <w:t>a) As amostras deverão ser apresentadas em no Máximo 2 (dois) dias úteis após o certame licitatório, podendo o prazo ser prorrogado ou a entrega ser dispensada, a pedido da contratante, desde que através de solicitação devidamente justificada e aceita;</w:t>
      </w:r>
    </w:p>
    <w:p>
      <w:pPr>
        <w:pStyle w:val="Normal"/>
        <w:spacing w:lineRule="auto" w:line="240"/>
        <w:ind w:left="110"/>
        <w:jc w:val="both"/>
        <w:rPr/>
      </w:pPr>
      <w:r>
        <w:rPr>
          <w:rFonts w:ascii="Verdana" w:hAnsi="Verdana"/>
          <w:sz w:val="20"/>
        </w:rPr>
        <w:t>b) Os produtos apresentados como amostras poderão ser abertos, manuseados e consumidos;</w:t>
      </w:r>
    </w:p>
    <w:p>
      <w:pPr>
        <w:pStyle w:val="Normal"/>
        <w:spacing w:lineRule="auto" w:line="240"/>
        <w:ind w:left="110"/>
        <w:jc w:val="both"/>
        <w:rPr/>
      </w:pPr>
      <w:r>
        <w:rPr>
          <w:rFonts w:ascii="Verdana" w:hAnsi="Verdana"/>
          <w:sz w:val="20"/>
        </w:rPr>
        <w:t>c) A amostra apresentada, não será em hipótese alguma, considerada como início de entrega dos gêneros;</w:t>
      </w:r>
    </w:p>
    <w:p>
      <w:pPr>
        <w:pStyle w:val="Normal"/>
        <w:spacing w:lineRule="auto" w:line="240"/>
        <w:ind w:left="110"/>
        <w:jc w:val="both"/>
        <w:rPr/>
      </w:pPr>
      <w:r>
        <w:rPr>
          <w:rFonts w:cs="Arial" w:ascii="Verdana" w:hAnsi="Verdana"/>
          <w:sz w:val="20"/>
        </w:rPr>
        <w:t xml:space="preserve">d) As amostras serão avaliadas pela Comissão do Núcleo de Promoção da Qualidade da Alimentação Escolar, apresentando o resultado em laudo escrito ao Departamento de Licitações para publicação do resultado as empresas participantes. </w:t>
      </w:r>
    </w:p>
    <w:p>
      <w:pPr>
        <w:pStyle w:val="Normal"/>
        <w:suppressAutoHyphens w:val="false"/>
        <w:spacing w:lineRule="auto" w:line="240"/>
        <w:ind w:firstLine="57" w:left="-57"/>
        <w:jc w:val="both"/>
        <w:rPr>
          <w:rFonts w:ascii="Verdana" w:hAnsi="Verdana"/>
          <w:sz w:val="20"/>
        </w:rPr>
      </w:pPr>
      <w:r>
        <w:rPr>
          <w:rFonts w:ascii="Verdana" w:hAnsi="Verdana"/>
          <w:sz w:val="20"/>
        </w:rPr>
      </w:r>
      <w:bookmarkStart w:id="3" w:name="page66R_mcid13"/>
      <w:bookmarkStart w:id="4" w:name="page66R_mcid131"/>
      <w:bookmarkStart w:id="5" w:name="page66R_mcid13"/>
      <w:bookmarkStart w:id="6" w:name="page66R_mcid131"/>
      <w:bookmarkEnd w:id="5"/>
      <w:bookmarkEnd w:id="6"/>
    </w:p>
    <w:p>
      <w:pPr>
        <w:pStyle w:val="Normal"/>
        <w:spacing w:lineRule="auto" w:line="240"/>
        <w:jc w:val="both"/>
        <w:rPr/>
      </w:pPr>
      <w:r>
        <w:rPr>
          <w:rFonts w:cs="Arial" w:ascii="Verdana" w:hAnsi="Verdana"/>
          <w:b/>
          <w:bCs/>
          <w:sz w:val="20"/>
        </w:rPr>
        <w:t>6. OBRIGAÇÕES DA CONTRATANTE</w:t>
      </w:r>
    </w:p>
    <w:p>
      <w:pPr>
        <w:pStyle w:val="Normal"/>
        <w:spacing w:lineRule="auto" w:line="240" w:before="57" w:after="57"/>
        <w:jc w:val="both"/>
        <w:rPr/>
      </w:pPr>
      <w:r>
        <w:rPr>
          <w:rFonts w:cs="Arial" w:ascii="Verdana" w:hAnsi="Verdana"/>
          <w:sz w:val="20"/>
        </w:rPr>
        <w:t>6.1.</w:t>
      </w:r>
      <w:r>
        <w:rPr>
          <w:rFonts w:cs="Arial" w:ascii="Verdana" w:hAnsi="Verdana"/>
          <w:b/>
          <w:bCs/>
          <w:sz w:val="20"/>
        </w:rPr>
        <w:t xml:space="preserve"> </w:t>
      </w:r>
      <w:r>
        <w:rPr>
          <w:rFonts w:cs="Arial" w:ascii="Verdana" w:hAnsi="Verdana"/>
          <w:sz w:val="20"/>
        </w:rPr>
        <w:t>Receber os objetos no prazo e condições estabelecidas neste Termo de Referência, no contrato e seus anexos.</w:t>
      </w:r>
    </w:p>
    <w:p>
      <w:pPr>
        <w:pStyle w:val="Normal"/>
        <w:spacing w:lineRule="auto" w:line="240" w:before="57" w:after="57"/>
        <w:jc w:val="both"/>
        <w:rPr/>
      </w:pPr>
      <w:r>
        <w:rPr>
          <w:rFonts w:ascii="Verdana" w:hAnsi="Verdana"/>
          <w:sz w:val="20"/>
        </w:rPr>
        <w:t>6</w:t>
      </w:r>
      <w:r>
        <w:rPr>
          <w:rFonts w:cs="Arial" w:ascii="Verdana" w:hAnsi="Verdana"/>
          <w:sz w:val="20"/>
        </w:rPr>
        <w:t>.2</w:t>
      </w:r>
      <w:r>
        <w:rPr>
          <w:rFonts w:cs="Arial" w:ascii="Verdana" w:hAnsi="Verdana"/>
          <w:b/>
          <w:bCs/>
          <w:sz w:val="20"/>
        </w:rPr>
        <w:t xml:space="preserve">. </w:t>
      </w:r>
      <w:r>
        <w:rPr>
          <w:rFonts w:cs="Arial" w:ascii="Verdana" w:hAnsi="Verdana"/>
          <w:sz w:val="20"/>
        </w:rPr>
        <w:t>Verificar minuciosamente, no prazo fixado, a conformidade dos gêneros alimentícios</w:t>
      </w:r>
      <w:bookmarkStart w:id="7" w:name="page68R_mcid7"/>
      <w:r>
        <w:rPr>
          <w:rFonts w:cs="Arial" w:ascii="Verdana" w:hAnsi="Verdana"/>
          <w:sz w:val="20"/>
        </w:rPr>
        <w:t xml:space="preserve"> provisoriamente com as especificações constantes neste Termo de Referência, da proposta e contrato para fins de aceitação e recebimento definitivo.</w:t>
      </w:r>
    </w:p>
    <w:p>
      <w:pPr>
        <w:pStyle w:val="Normal"/>
        <w:spacing w:lineRule="auto" w:line="240" w:before="57" w:after="57"/>
        <w:jc w:val="both"/>
        <w:rPr/>
      </w:pPr>
      <w:r>
        <w:rPr>
          <w:rFonts w:cs="Arial" w:ascii="Verdana" w:hAnsi="Verdana"/>
          <w:sz w:val="20"/>
        </w:rPr>
        <w:t>6.3. Comunicar à Contratada, por escrito, sobre imperfeições, falhas ou irregularidades verificadas no objeto fornecido, para que seja substituído, reparado ou corrigido.</w:t>
      </w:r>
    </w:p>
    <w:p>
      <w:pPr>
        <w:pStyle w:val="Normal"/>
        <w:spacing w:lineRule="auto" w:line="240" w:before="57" w:after="57"/>
        <w:jc w:val="both"/>
        <w:rPr/>
      </w:pPr>
      <w:r>
        <w:rPr>
          <w:rFonts w:cs="Arial" w:ascii="Verdana" w:hAnsi="Verdana"/>
          <w:sz w:val="20"/>
        </w:rPr>
        <w:t>6.4. Acompanhar e fiscalizar o cumprimento das obrigações da Contratada, através de comissão/servidor especialmente designado.</w:t>
      </w:r>
    </w:p>
    <w:p>
      <w:pPr>
        <w:pStyle w:val="Normal"/>
        <w:spacing w:lineRule="auto" w:line="240" w:before="57" w:after="57"/>
        <w:jc w:val="both"/>
        <w:rPr/>
      </w:pPr>
      <w:r>
        <w:rPr>
          <w:rFonts w:cs="Arial" w:ascii="Verdana" w:hAnsi="Verdana"/>
          <w:sz w:val="20"/>
        </w:rPr>
        <w:t>6.5. Efetuar o pagamento à Contratada no valor correspondente ao fornecimento dos  gêneros alimentícios, no prazo e forma estabelecidos neste Termo de Referência, seus anexos e contrato.</w:t>
      </w:r>
    </w:p>
    <w:p>
      <w:pPr>
        <w:pStyle w:val="Normal"/>
        <w:spacing w:lineRule="auto" w:line="240" w:before="57" w:after="57"/>
        <w:jc w:val="both"/>
        <w:rPr/>
      </w:pPr>
      <w:r>
        <w:rPr>
          <w:rFonts w:cs="Arial" w:ascii="Verdana" w:hAnsi="Verdana"/>
          <w:sz w:val="20"/>
        </w:rPr>
        <w:t>6.6.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40" w:before="0" w:after="0"/>
        <w:jc w:val="both"/>
        <w:rPr>
          <w:rFonts w:ascii="Verdana" w:hAnsi="Verdana" w:cs="Arial"/>
          <w:sz w:val="20"/>
        </w:rPr>
      </w:pPr>
      <w:r>
        <w:rPr>
          <w:rFonts w:cs="Arial" w:ascii="Verdana" w:hAnsi="Verdana"/>
          <w:sz w:val="20"/>
        </w:rPr>
      </w:r>
    </w:p>
    <w:p>
      <w:pPr>
        <w:pStyle w:val="Normal"/>
        <w:spacing w:lineRule="auto" w:line="240"/>
        <w:jc w:val="both"/>
        <w:rPr/>
      </w:pPr>
      <w:bookmarkStart w:id="8" w:name="page68R_mcid17"/>
      <w:bookmarkEnd w:id="8"/>
      <w:r>
        <w:rPr>
          <w:rFonts w:cs="Arial" w:ascii="Verdana" w:hAnsi="Verdana"/>
          <w:b/>
          <w:bCs/>
          <w:sz w:val="20"/>
        </w:rPr>
        <w:t>7. OBRIGAÇÕES DA CONTRATADA</w:t>
      </w:r>
    </w:p>
    <w:p>
      <w:pPr>
        <w:pStyle w:val="Normal"/>
        <w:spacing w:lineRule="auto" w:line="240"/>
        <w:jc w:val="both"/>
        <w:rPr/>
      </w:pPr>
      <w:r>
        <w:rPr>
          <w:rFonts w:cs="Arial" w:ascii="Verdana" w:hAnsi="Verdana"/>
          <w:sz w:val="20"/>
        </w:rPr>
        <w:t>7.1. 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40"/>
        <w:jc w:val="both"/>
        <w:rPr/>
      </w:pPr>
      <w:r>
        <w:rPr>
          <w:rFonts w:cs="Arial" w:ascii="Verdana" w:hAnsi="Verdana"/>
          <w:sz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40"/>
        <w:jc w:val="both"/>
        <w:rPr/>
      </w:pPr>
      <w:r>
        <w:rPr>
          <w:rFonts w:cs="Arial" w:ascii="Verdana" w:hAnsi="Verdana"/>
          <w:sz w:val="20"/>
        </w:rPr>
        <w:t>7.3. Responsabilizar-se pelos vícios e danos decorrentes do objeto.</w:t>
      </w:r>
    </w:p>
    <w:p>
      <w:pPr>
        <w:pStyle w:val="Normal"/>
        <w:spacing w:lineRule="auto" w:line="240"/>
        <w:jc w:val="both"/>
        <w:rPr/>
      </w:pPr>
      <w:r>
        <w:rPr>
          <w:rFonts w:cs="Arial" w:ascii="Verdana" w:hAnsi="Verdana"/>
          <w:sz w:val="20"/>
        </w:rPr>
        <w:t>7.4.</w:t>
      </w:r>
      <w:r>
        <w:rPr>
          <w:rFonts w:cs="Arial" w:ascii="Verdana" w:hAnsi="Verdana"/>
          <w:b/>
          <w:bCs/>
          <w:sz w:val="20"/>
        </w:rPr>
        <w:t xml:space="preserve"> </w:t>
      </w:r>
      <w:r>
        <w:rPr>
          <w:rFonts w:cs="Arial" w:ascii="Verdana" w:hAnsi="Verdana"/>
          <w:sz w:val="20"/>
        </w:rPr>
        <w:t>Substituir, reparar ou corrigir, às suas expensas, no prazo fixado neste Termo de Referência, o objeto com avarias ou defeitos.</w:t>
      </w:r>
    </w:p>
    <w:p>
      <w:pPr>
        <w:pStyle w:val="Normal"/>
        <w:spacing w:lineRule="auto" w:line="240"/>
        <w:jc w:val="both"/>
        <w:rPr/>
      </w:pPr>
      <w:r>
        <w:rPr>
          <w:rFonts w:cs="Arial" w:ascii="Verdana" w:hAnsi="Verdana"/>
          <w:sz w:val="20"/>
        </w:rPr>
        <w:t>7.5. Comunicar à Contratante, no prazo máximo de 12 (doze) horas que antecede a data da entrega, os motivos que impossibilitem o cumprimento do prazo previsto, com a devida comprovação.</w:t>
      </w:r>
    </w:p>
    <w:p>
      <w:pPr>
        <w:pStyle w:val="Normal"/>
        <w:spacing w:lineRule="auto" w:line="240"/>
        <w:jc w:val="both"/>
        <w:rPr/>
      </w:pPr>
      <w:r>
        <w:rPr>
          <w:rFonts w:cs="Arial" w:ascii="Verdana" w:hAnsi="Verdana"/>
          <w:sz w:val="20"/>
        </w:rPr>
        <w:t>7.6.</w:t>
      </w:r>
      <w:r>
        <w:rPr>
          <w:rFonts w:cs="Arial" w:ascii="Verdana" w:hAnsi="Verdana"/>
          <w:b/>
          <w:bCs/>
          <w:sz w:val="20"/>
        </w:rPr>
        <w:t xml:space="preserve"> </w:t>
      </w:r>
      <w:r>
        <w:rPr>
          <w:rFonts w:cs="Arial" w:ascii="Verdana" w:hAnsi="Verdana"/>
          <w:sz w:val="20"/>
        </w:rPr>
        <w:t>Manter, durante toda a execução do contrato, em compatibilidade com as obrigações assumidas, todas as condições de habilitação e qualificação exigidas no chamamento público.</w:t>
      </w:r>
    </w:p>
    <w:p>
      <w:pPr>
        <w:pStyle w:val="Normal"/>
        <w:tabs>
          <w:tab w:val="clear" w:pos="708"/>
          <w:tab w:val="left" w:pos="0" w:leader="none"/>
        </w:tabs>
        <w:spacing w:lineRule="auto" w:line="240"/>
        <w:jc w:val="both"/>
        <w:rPr/>
      </w:pPr>
      <w:r>
        <w:rPr>
          <w:rFonts w:cs="Arial" w:ascii="Verdana" w:hAnsi="Verdana"/>
          <w:sz w:val="20"/>
        </w:rPr>
        <w:t>7.7. Indicar preposto para representá-la durante a execução da ata contrato.</w:t>
      </w:r>
    </w:p>
    <w:p>
      <w:pPr>
        <w:pStyle w:val="Normal"/>
        <w:tabs>
          <w:tab w:val="clear" w:pos="708"/>
          <w:tab w:val="left" w:pos="450" w:leader="none"/>
        </w:tabs>
        <w:spacing w:lineRule="auto" w:line="240"/>
        <w:jc w:val="both"/>
        <w:rPr/>
      </w:pPr>
      <w:r>
        <w:rPr>
          <w:rFonts w:cs="Arial" w:ascii="Verdana" w:hAnsi="Verdana"/>
          <w:sz w:val="20"/>
        </w:rPr>
        <w:t>7.8.</w:t>
      </w:r>
      <w:r>
        <w:rPr>
          <w:rFonts w:cs="Arial" w:ascii="Verdana" w:hAnsi="Verdana"/>
          <w:b/>
          <w:bCs/>
          <w:sz w:val="20"/>
        </w:rPr>
        <w:t xml:space="preserve"> </w:t>
      </w:r>
      <w:r>
        <w:rPr>
          <w:rFonts w:cs="Arial" w:ascii="Verdana" w:hAnsi="Verdana"/>
          <w:sz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jc w:val="both"/>
        <w:rPr/>
      </w:pPr>
      <w:r>
        <w:rPr>
          <w:rFonts w:cs="Arial" w:ascii="Verdana" w:hAnsi="Verdana"/>
          <w:sz w:val="20"/>
        </w:rPr>
        <w:t>7.9. Durante a execução do contrato, a CONTRATADA deverá:</w:t>
      </w:r>
      <w:r>
        <w:rPr>
          <w:rFonts w:ascii="Verdana" w:hAnsi="Verdana"/>
          <w:sz w:val="20"/>
        </w:rPr>
        <w:br/>
        <w:t>7</w:t>
      </w:r>
      <w:r>
        <w:rPr>
          <w:rFonts w:cs="Arial" w:ascii="Verdana" w:hAnsi="Verdana"/>
          <w:sz w:val="20"/>
        </w:rPr>
        <w:t>.9.1.</w:t>
      </w:r>
      <w:r>
        <w:rPr>
          <w:rFonts w:cs="Arial" w:ascii="Verdana" w:hAnsi="Verdana"/>
          <w:b/>
          <w:bCs/>
          <w:sz w:val="20"/>
        </w:rPr>
        <w:t xml:space="preserve"> </w:t>
      </w:r>
      <w:r>
        <w:rPr>
          <w:rFonts w:cs="Arial" w:ascii="Verdana" w:hAnsi="Verdana"/>
          <w:sz w:val="20"/>
        </w:rPr>
        <w:t>Atender prontamente às solicitações da secretaria requisitante nas quantidades e especificações deste TERMO DE REFERÊNCIA e CONTRATO.</w:t>
      </w:r>
    </w:p>
    <w:p>
      <w:pPr>
        <w:pStyle w:val="Normal"/>
        <w:tabs>
          <w:tab w:val="clear" w:pos="708"/>
          <w:tab w:val="left" w:pos="0" w:leader="none"/>
        </w:tabs>
        <w:spacing w:lineRule="auto" w:line="240"/>
        <w:jc w:val="both"/>
        <w:rPr/>
      </w:pPr>
      <w:r>
        <w:rPr>
          <w:rFonts w:cs="Arial" w:ascii="Verdana" w:hAnsi="Verdana"/>
          <w:sz w:val="20"/>
        </w:rPr>
        <w:t>7.9.2</w:t>
      </w:r>
      <w:r>
        <w:rPr>
          <w:rFonts w:cs="Arial" w:ascii="Verdana" w:hAnsi="Verdana"/>
          <w:b/>
          <w:bCs/>
          <w:sz w:val="20"/>
        </w:rPr>
        <w:t xml:space="preserve">. </w:t>
      </w:r>
      <w:r>
        <w:rPr>
          <w:rFonts w:cs="Arial" w:ascii="Verdana" w:hAnsi="Verdana"/>
          <w:sz w:val="20"/>
        </w:rPr>
        <w:t>Entregar os gêneros alimentícios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jc w:val="both"/>
        <w:rPr/>
      </w:pPr>
      <w:r>
        <w:rPr>
          <w:rFonts w:cs="Arial" w:ascii="Verdana" w:hAnsi="Verdana"/>
          <w:sz w:val="20"/>
        </w:rPr>
        <w:t>7.9.3. A nota fiscal deverá ser acompanhada pelas Certidões de Regularidades Fiscais, exigidos para a habilitação no procedimento licitatório.</w:t>
      </w:r>
      <w:r>
        <w:rPr>
          <w:rFonts w:ascii="Verdana" w:hAnsi="Verdana"/>
          <w:sz w:val="20"/>
        </w:rPr>
        <w:br/>
        <w:t>7</w:t>
      </w:r>
      <w:r>
        <w:rPr>
          <w:rFonts w:cs="Arial" w:ascii="Verdana" w:hAnsi="Verdana"/>
          <w:sz w:val="20"/>
        </w:rPr>
        <w:t>.9.4. Substituir quaisquer item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jc w:val="both"/>
        <w:rPr/>
      </w:pPr>
      <w:r>
        <w:rPr>
          <w:rFonts w:cs="Arial" w:ascii="Verdana" w:hAnsi="Verdana"/>
          <w:sz w:val="20"/>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Normal"/>
        <w:tabs>
          <w:tab w:val="clear" w:pos="708"/>
          <w:tab w:val="left" w:pos="0" w:leader="none"/>
        </w:tabs>
        <w:spacing w:lineRule="auto" w:line="240"/>
        <w:jc w:val="both"/>
        <w:rPr>
          <w:rFonts w:ascii="Verdana" w:hAnsi="Verdana" w:cs="Arial"/>
          <w:b/>
          <w:sz w:val="20"/>
          <w:u w:val="single"/>
        </w:rPr>
      </w:pPr>
      <w:r>
        <w:rPr>
          <w:rFonts w:cs="Arial" w:ascii="Verdana" w:hAnsi="Verdana"/>
          <w:b/>
          <w:sz w:val="20"/>
          <w:u w:val="single"/>
        </w:rPr>
      </w:r>
      <w:bookmarkStart w:id="9" w:name="page68R_mcid20"/>
      <w:bookmarkStart w:id="10" w:name="page68R_mcid201"/>
      <w:bookmarkStart w:id="11" w:name="page68R_mcid20"/>
      <w:bookmarkStart w:id="12" w:name="page68R_mcid201"/>
      <w:bookmarkEnd w:id="11"/>
      <w:bookmarkEnd w:id="12"/>
    </w:p>
    <w:p>
      <w:pPr>
        <w:pStyle w:val="Normal"/>
        <w:spacing w:lineRule="auto" w:line="240"/>
        <w:jc w:val="both"/>
        <w:rPr/>
      </w:pPr>
      <w:bookmarkStart w:id="13" w:name="_GoBack111"/>
      <w:bookmarkStart w:id="14" w:name="page70R_mcid10"/>
      <w:bookmarkEnd w:id="13"/>
      <w:bookmarkEnd w:id="14"/>
      <w:r>
        <w:rPr>
          <w:rFonts w:cs="Arial" w:ascii="Verdana" w:hAnsi="Verdana"/>
          <w:b/>
          <w:bCs/>
          <w:sz w:val="20"/>
        </w:rPr>
        <w:t>8. DO CONTROLE E FISCALIZAÇÃO DA EXECUÇÃO</w:t>
      </w:r>
    </w:p>
    <w:p>
      <w:pPr>
        <w:pStyle w:val="Normal"/>
        <w:spacing w:lineRule="auto" w:line="240"/>
        <w:jc w:val="both"/>
        <w:rPr/>
      </w:pPr>
      <w:r>
        <w:rPr>
          <w:rFonts w:cs="Arial" w:ascii="Verdana" w:hAnsi="Verdana"/>
          <w:sz w:val="20"/>
        </w:rPr>
        <w:t>8.1.</w:t>
      </w:r>
      <w:r>
        <w:rPr>
          <w:rFonts w:cs="Arial" w:ascii="Verdana" w:hAnsi="Verdana"/>
          <w:b/>
          <w:bCs/>
          <w:sz w:val="20"/>
        </w:rPr>
        <w:t xml:space="preserve"> </w:t>
      </w:r>
      <w:r>
        <w:rPr>
          <w:rFonts w:cs="Arial" w:ascii="Verdana" w:hAnsi="Verdana"/>
          <w:sz w:val="2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pPr>
        <w:pStyle w:val="Normal"/>
        <w:spacing w:lineRule="auto" w:line="240"/>
        <w:jc w:val="both"/>
        <w:rPr/>
      </w:pPr>
      <w:r>
        <w:rPr>
          <w:rFonts w:cs="Arial" w:ascii="Verdana" w:hAnsi="Verdana"/>
          <w:sz w:val="20"/>
        </w:rPr>
        <w:t>8.2.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w:t>
      </w:r>
    </w:p>
    <w:p>
      <w:pPr>
        <w:pStyle w:val="Normal"/>
        <w:spacing w:lineRule="auto" w:line="240"/>
        <w:jc w:val="both"/>
        <w:rPr/>
      </w:pPr>
      <w:r>
        <w:rPr>
          <w:rFonts w:cs="Arial" w:ascii="Verdana" w:hAnsi="Verdana"/>
          <w:sz w:val="20"/>
        </w:rPr>
        <w:t>8.3.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rPr>
        <w:br/>
      </w:r>
      <w:r>
        <w:rPr>
          <w:rFonts w:cs="Arial" w:ascii="Verdana" w:hAnsi="Verdana"/>
          <w:sz w:val="20"/>
        </w:rPr>
        <w:t xml:space="preserve">for necessário à regularização das falhas ou </w:t>
      </w:r>
      <w:r>
        <w:rPr>
          <w:rFonts w:ascii="Verdana" w:hAnsi="Verdana"/>
          <w:sz w:val="20"/>
        </w:rPr>
        <w:t>defeitos observados e encaminhando os apontamentos à autoridade competente para as providências cabíveis.</w:t>
      </w:r>
    </w:p>
    <w:p>
      <w:pPr>
        <w:pStyle w:val="Normal"/>
        <w:spacing w:lineRule="auto" w:line="240"/>
        <w:jc w:val="both"/>
        <w:rPr/>
      </w:pPr>
      <w:r>
        <w:rPr>
          <w:rFonts w:ascii="Verdana" w:hAnsi="Verdana"/>
          <w:sz w:val="20"/>
        </w:rPr>
        <w:t>8.4. No caso de interrupção das entregas, por parte da contratada, o gestor do contrato tomará as providências cabíveis, de acordo com as cláusulas do edital e do contrato.</w:t>
      </w:r>
    </w:p>
    <w:p>
      <w:pPr>
        <w:pStyle w:val="Normal"/>
        <w:spacing w:lineRule="auto" w:line="240"/>
        <w:jc w:val="both"/>
        <w:rPr>
          <w:rFonts w:ascii="Verdana" w:hAnsi="Verdana" w:cs="Arial"/>
          <w:b/>
          <w:sz w:val="20"/>
        </w:rPr>
      </w:pPr>
      <w:r>
        <w:rPr>
          <w:rFonts w:cs="Arial" w:ascii="Verdana" w:hAnsi="Verdana"/>
          <w:b/>
          <w:sz w:val="20"/>
        </w:rPr>
      </w:r>
    </w:p>
    <w:p>
      <w:pPr>
        <w:pStyle w:val="Normal"/>
        <w:tabs>
          <w:tab w:val="clear" w:pos="708"/>
          <w:tab w:val="left" w:pos="0" w:leader="none"/>
        </w:tabs>
        <w:spacing w:lineRule="auto" w:line="240"/>
        <w:rPr/>
      </w:pPr>
      <w:r>
        <w:rPr>
          <w:rFonts w:cs="Arial" w:ascii="Verdana" w:hAnsi="Verdana"/>
          <w:b/>
          <w:bCs/>
          <w:sz w:val="20"/>
        </w:rPr>
        <w:t>9. RESULTADOS PRETENDIDOS</w:t>
      </w:r>
    </w:p>
    <w:p>
      <w:pPr>
        <w:pStyle w:val="Normal"/>
        <w:spacing w:lineRule="auto" w:line="240"/>
        <w:jc w:val="both"/>
        <w:rPr/>
      </w:pPr>
      <w:r>
        <w:rPr>
          <w:rFonts w:cs="Arial" w:ascii="Verdana" w:hAnsi="Verdana"/>
          <w:sz w:val="20"/>
        </w:rPr>
        <w:t>9.1. Com a contratação, buscamos suprir as necessidades das Escolas Municipais através do Programa Nacional de Alimentação Escolar, a fim de mantermos os 200 dias letivos com fornecimento de gêneros alimentícios de qualidade, fornecendo alimentação adequada aos alunos durante o período de aula.</w:t>
      </w:r>
    </w:p>
    <w:p>
      <w:pPr>
        <w:pStyle w:val="Normal"/>
        <w:spacing w:lineRule="auto" w:line="240"/>
        <w:jc w:val="both"/>
        <w:rPr>
          <w:rFonts w:ascii="Verdana" w:hAnsi="Verdana" w:cs="Arial"/>
          <w:b/>
          <w:sz w:val="20"/>
        </w:rPr>
      </w:pPr>
      <w:r>
        <w:rPr>
          <w:rFonts w:cs="Arial" w:ascii="Verdana" w:hAnsi="Verdana"/>
          <w:b/>
          <w:sz w:val="20"/>
        </w:rPr>
      </w:r>
    </w:p>
    <w:p>
      <w:pPr>
        <w:pStyle w:val="Normal"/>
        <w:spacing w:lineRule="auto" w:line="240"/>
        <w:jc w:val="both"/>
        <w:rPr/>
      </w:pPr>
      <w:r>
        <w:rPr>
          <w:rFonts w:cs="Arial" w:ascii="Verdana" w:hAnsi="Verdana"/>
          <w:b/>
          <w:bCs/>
          <w:sz w:val="20"/>
        </w:rPr>
        <w:t>10. REGULARIDADE FISCAL E TRABALHISTA</w:t>
      </w:r>
    </w:p>
    <w:p>
      <w:pPr>
        <w:pStyle w:val="Normal"/>
        <w:spacing w:lineRule="auto" w:line="240"/>
        <w:jc w:val="both"/>
        <w:rPr/>
      </w:pPr>
      <w:r>
        <w:rPr>
          <w:rFonts w:cs="Arial" w:ascii="Verdana" w:hAnsi="Verdana"/>
          <w:sz w:val="20"/>
        </w:rPr>
        <w:t>10.1. Cópia de inscrição no Cadastro de Pessoas Jurídicas – CNPJ.</w:t>
      </w:r>
    </w:p>
    <w:p>
      <w:pPr>
        <w:pStyle w:val="Normal"/>
        <w:spacing w:lineRule="auto" w:line="240"/>
        <w:jc w:val="both"/>
        <w:rPr/>
      </w:pPr>
      <w:r>
        <w:rPr>
          <w:rFonts w:cs="Arial" w:ascii="Verdana" w:hAnsi="Verdana"/>
          <w:sz w:val="20"/>
        </w:rPr>
        <w:t xml:space="preserve">10.2. 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40"/>
        <w:jc w:val="both"/>
        <w:rPr/>
      </w:pPr>
      <w:r>
        <w:rPr>
          <w:rFonts w:cs="Arial" w:ascii="Verdana" w:hAnsi="Verdana"/>
          <w:sz w:val="20"/>
        </w:rPr>
        <w:t xml:space="preserve">10.3.Prova de regularidade com a Fazenda Estadual, que poderá ser solicitada no site </w:t>
      </w:r>
      <w:hyperlink r:id="rId2">
        <w:r>
          <w:rPr>
            <w:rStyle w:val="ListLabel28"/>
            <w:rFonts w:cs="Arial" w:ascii="Verdana" w:hAnsi="Verdana"/>
            <w:sz w:val="20"/>
          </w:rPr>
          <w:t>https://internet.sefaz.es.gov.br</w:t>
        </w:r>
      </w:hyperlink>
      <w:r>
        <w:rPr>
          <w:rFonts w:cs="Arial" w:ascii="Verdana" w:hAnsi="Verdana"/>
          <w:sz w:val="20"/>
        </w:rPr>
        <w:t>;</w:t>
      </w:r>
    </w:p>
    <w:p>
      <w:pPr>
        <w:pStyle w:val="Normal"/>
        <w:spacing w:lineRule="auto" w:line="240"/>
        <w:jc w:val="both"/>
        <w:rPr/>
      </w:pPr>
      <w:r>
        <w:rPr>
          <w:rFonts w:cs="Arial" w:ascii="Verdana" w:hAnsi="Verdana"/>
          <w:sz w:val="20"/>
        </w:rPr>
        <w:t>10.4.  Prova de regularidade com a Fazenda Pública Municipal referente ao domicílio do interessado.</w:t>
      </w:r>
    </w:p>
    <w:p>
      <w:pPr>
        <w:pStyle w:val="Normal"/>
        <w:spacing w:lineRule="auto" w:line="240"/>
        <w:jc w:val="both"/>
        <w:rPr/>
      </w:pPr>
      <w:r>
        <w:rPr>
          <w:rFonts w:cs="Arial" w:ascii="Verdana" w:hAnsi="Verdana"/>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3">
        <w:r>
          <w:rPr>
            <w:rStyle w:val="ListLabel28"/>
            <w:rFonts w:cs="Arial" w:ascii="Verdana" w:hAnsi="Verdana"/>
            <w:sz w:val="20"/>
          </w:rPr>
          <w:t>http://www.tst.jus.br</w:t>
        </w:r>
      </w:hyperlink>
      <w:r>
        <w:rPr>
          <w:rFonts w:cs="Arial" w:ascii="Verdana" w:hAnsi="Verdana"/>
          <w:sz w:val="20"/>
        </w:rPr>
        <w:t>.</w:t>
      </w:r>
    </w:p>
    <w:p>
      <w:pPr>
        <w:pStyle w:val="Normal"/>
        <w:spacing w:lineRule="auto" w:line="240"/>
        <w:jc w:val="both"/>
        <w:rPr>
          <w:rFonts w:ascii="Verdana" w:hAnsi="Verdana" w:cs="Arial"/>
          <w:b/>
          <w:sz w:val="20"/>
        </w:rPr>
      </w:pPr>
      <w:r>
        <w:rPr>
          <w:rFonts w:cs="Arial" w:ascii="Verdana" w:hAnsi="Verdana"/>
          <w:b/>
          <w:sz w:val="20"/>
        </w:rPr>
      </w:r>
    </w:p>
    <w:p>
      <w:pPr>
        <w:pStyle w:val="Normal"/>
        <w:spacing w:lineRule="auto" w:line="240"/>
        <w:jc w:val="both"/>
        <w:rPr/>
      </w:pPr>
      <w:r>
        <w:rPr>
          <w:rFonts w:cs="Arial" w:ascii="Verdana" w:hAnsi="Verdana"/>
          <w:b/>
          <w:bCs/>
          <w:sz w:val="20"/>
        </w:rPr>
        <w:t>11. DAS SANÇÕES ADMINISTRATIVAS</w:t>
      </w:r>
    </w:p>
    <w:p>
      <w:pPr>
        <w:pStyle w:val="Normal"/>
        <w:spacing w:lineRule="auto" w:line="240"/>
        <w:jc w:val="both"/>
        <w:rPr/>
      </w:pPr>
      <w:r>
        <w:rPr>
          <w:rFonts w:ascii="Verdana" w:hAnsi="Verdana"/>
          <w:iCs/>
          <w:sz w:val="20"/>
        </w:rPr>
        <w:t>11.1. Comete infração administrativa o fornecedor/prestador de serviço que cometer quaisquer das infrações previstas no art. 155 da Lei nº 14.133, de 2021, quais sejam:</w:t>
      </w:r>
    </w:p>
    <w:p>
      <w:pPr>
        <w:pStyle w:val="Normal"/>
        <w:spacing w:lineRule="auto" w:line="240"/>
        <w:jc w:val="both"/>
        <w:rPr/>
      </w:pPr>
      <w:r>
        <w:rPr>
          <w:rFonts w:ascii="Verdana" w:hAnsi="Verdana"/>
          <w:iCs/>
          <w:sz w:val="20"/>
        </w:rPr>
        <w:t>11.1.1. Dar causa à inexecução parcial do contrato.</w:t>
      </w:r>
    </w:p>
    <w:p>
      <w:pPr>
        <w:pStyle w:val="Normal"/>
        <w:spacing w:lineRule="auto" w:line="240"/>
        <w:jc w:val="both"/>
        <w:rPr/>
      </w:pPr>
      <w:r>
        <w:rPr>
          <w:rFonts w:ascii="Verdana" w:hAnsi="Verdana"/>
          <w:iCs/>
          <w:sz w:val="20"/>
        </w:rPr>
        <w:t>11.1.2. Dar causa à inexecução parcial que cause grave dano à Administração, ao funcionamento dos serviços públicos ou ao interesse coletivo.</w:t>
      </w:r>
    </w:p>
    <w:p>
      <w:pPr>
        <w:pStyle w:val="Normal"/>
        <w:spacing w:lineRule="auto" w:line="240"/>
        <w:jc w:val="both"/>
        <w:rPr/>
      </w:pPr>
      <w:r>
        <w:rPr>
          <w:rFonts w:ascii="Verdana" w:hAnsi="Verdana"/>
          <w:iCs/>
          <w:sz w:val="20"/>
        </w:rPr>
        <w:t>11.1.3. Dar causa à inexecução total;</w:t>
      </w:r>
    </w:p>
    <w:p>
      <w:pPr>
        <w:pStyle w:val="Normal"/>
        <w:spacing w:lineRule="auto" w:line="240"/>
        <w:jc w:val="both"/>
        <w:rPr/>
      </w:pPr>
      <w:r>
        <w:rPr>
          <w:rFonts w:ascii="Verdana" w:hAnsi="Verdana"/>
          <w:iCs/>
          <w:sz w:val="20"/>
        </w:rPr>
        <w:t>11.1.4. Deixar de entregar a documentação exigida para o certame.</w:t>
      </w:r>
    </w:p>
    <w:p>
      <w:pPr>
        <w:pStyle w:val="Normal"/>
        <w:spacing w:lineRule="auto" w:line="240"/>
        <w:jc w:val="both"/>
        <w:rPr/>
      </w:pPr>
      <w:r>
        <w:rPr>
          <w:rFonts w:ascii="Verdana" w:hAnsi="Verdana"/>
          <w:iCs/>
          <w:sz w:val="20"/>
        </w:rPr>
        <w:t>11.1.5. Não manter a proposta, salvo em decorrência de fato superveniente devidamente justificado.</w:t>
      </w:r>
    </w:p>
    <w:p>
      <w:pPr>
        <w:pStyle w:val="Normal"/>
        <w:spacing w:lineRule="auto" w:line="240"/>
        <w:jc w:val="both"/>
        <w:rPr/>
      </w:pPr>
      <w:r>
        <w:rPr>
          <w:rFonts w:ascii="Verdana" w:hAnsi="Verdana"/>
          <w:iCs/>
          <w:sz w:val="20"/>
        </w:rPr>
        <w:t xml:space="preserve">11.1.6. Não celebrar o contrato ou não entregar a documentação exigida para a contratação, quando convocado dentro do prazo de validade de sua proposta. </w:t>
      </w:r>
    </w:p>
    <w:p>
      <w:pPr>
        <w:pStyle w:val="Normal"/>
        <w:spacing w:lineRule="auto" w:line="240"/>
        <w:jc w:val="both"/>
        <w:rPr/>
      </w:pPr>
      <w:r>
        <w:rPr>
          <w:rFonts w:ascii="Verdana" w:hAnsi="Verdana"/>
          <w:iCs/>
          <w:sz w:val="20"/>
        </w:rPr>
        <w:t>11.1.7. Ensejar o retardamento da execução ou da entrega do objeto sem motivo justificado,</w:t>
      </w:r>
    </w:p>
    <w:p>
      <w:pPr>
        <w:pStyle w:val="Normal"/>
        <w:spacing w:lineRule="auto" w:line="240"/>
        <w:jc w:val="both"/>
        <w:rPr/>
      </w:pPr>
      <w:r>
        <w:rPr>
          <w:rFonts w:ascii="Verdana" w:hAnsi="Verdana"/>
          <w:iCs/>
          <w:sz w:val="20"/>
        </w:rPr>
        <w:t>11.1.8. Apresentar declaração ou documentação falsa exigida para o certame ou prestar declaração falsa durante a dispensa eletrônica ou a execução do objeto.</w:t>
      </w:r>
    </w:p>
    <w:p>
      <w:pPr>
        <w:pStyle w:val="Normal"/>
        <w:spacing w:lineRule="auto" w:line="240"/>
        <w:jc w:val="both"/>
        <w:rPr/>
      </w:pPr>
      <w:r>
        <w:rPr>
          <w:rFonts w:ascii="Verdana" w:hAnsi="Verdana"/>
          <w:iCs/>
          <w:sz w:val="20"/>
        </w:rPr>
        <w:t>11.1.9. Fraudar a dispensa eletrônica ou praticar ato fraudulento na execução do objeto.</w:t>
      </w:r>
    </w:p>
    <w:p>
      <w:pPr>
        <w:pStyle w:val="Normal"/>
        <w:spacing w:lineRule="auto" w:line="240"/>
        <w:jc w:val="both"/>
        <w:rPr/>
      </w:pPr>
      <w:r>
        <w:rPr>
          <w:rFonts w:ascii="Verdana" w:hAnsi="Verdana"/>
          <w:iCs/>
          <w:sz w:val="20"/>
        </w:rPr>
        <w:t>11.1.10. Comportar-se de modo inidôneo ou cometer fraude de qualquer natureza.</w:t>
      </w:r>
    </w:p>
    <w:p>
      <w:pPr>
        <w:pStyle w:val="Normal"/>
        <w:spacing w:lineRule="auto" w:line="240"/>
        <w:jc w:val="both"/>
        <w:rPr/>
      </w:pPr>
      <w:r>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jc w:val="both"/>
        <w:rPr/>
      </w:pPr>
      <w:r>
        <w:rPr>
          <w:rFonts w:ascii="Verdana" w:hAnsi="Verdana"/>
          <w:iCs/>
          <w:sz w:val="20"/>
        </w:rPr>
        <w:t>11.1.11. Praticar atos ilícitos com vistas a frustrar os objetivos deste certame.</w:t>
      </w:r>
    </w:p>
    <w:p>
      <w:pPr>
        <w:pStyle w:val="Normal"/>
        <w:spacing w:lineRule="auto" w:line="240"/>
        <w:jc w:val="both"/>
        <w:rPr/>
      </w:pPr>
      <w:r>
        <w:rPr>
          <w:rFonts w:ascii="Verdana" w:hAnsi="Verdana"/>
          <w:iCs/>
          <w:sz w:val="20"/>
        </w:rPr>
        <w:t>11.1.12. Praticar ato lesivo previsto no art. 5º da Lei nº 12.846, de 1º de agosto de 2013.</w:t>
      </w:r>
    </w:p>
    <w:p>
      <w:pPr>
        <w:pStyle w:val="Normal"/>
        <w:spacing w:lineRule="auto" w:line="240"/>
        <w:jc w:val="both"/>
        <w:rPr/>
      </w:pPr>
      <w:r>
        <w:rPr>
          <w:rFonts w:ascii="Verdana" w:hAnsi="Verdana"/>
          <w:iCs/>
          <w:sz w:val="20"/>
        </w:rPr>
        <w:t>11.1.13. O fornecedor que cometer qualquer das infrações discriminadas nos subitens anteriores ficará sujeito, sem prejuízo da responsabilidade civil e criminal, às seguintes sanções:</w:t>
      </w:r>
    </w:p>
    <w:p>
      <w:pPr>
        <w:pStyle w:val="Normal"/>
        <w:spacing w:lineRule="auto" w:line="240"/>
        <w:jc w:val="both"/>
        <w:rPr/>
      </w:pPr>
      <w:r>
        <w:rPr>
          <w:rFonts w:ascii="Verdana" w:hAnsi="Verdana"/>
          <w:iCs/>
          <w:sz w:val="20"/>
        </w:rPr>
        <w:t>a) Advertência pela falta do subitem 11.1.1 deste Termo de Referência, quando não se justificar a imposição de penalidade mais grave.</w:t>
      </w:r>
    </w:p>
    <w:p>
      <w:pPr>
        <w:pStyle w:val="Normal"/>
        <w:spacing w:lineRule="auto" w:line="240"/>
        <w:ind w:left="-57"/>
        <w:jc w:val="both"/>
        <w:rPr/>
      </w:pPr>
      <w:r>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pPr>
        <w:pStyle w:val="Normal"/>
        <w:spacing w:lineRule="auto" w:line="240"/>
        <w:ind w:left="-57"/>
        <w:jc w:val="both"/>
        <w:rPr/>
      </w:pPr>
      <w:r>
        <w:rPr>
          <w:rFonts w:ascii="Verdana" w:hAnsi="Verdana"/>
          <w:iCs/>
          <w:sz w:val="20"/>
        </w:rPr>
        <w:tab/>
        <w:t>b.1) O valor da multa poderá ser descontado das faturas devidas à CONTRATADA;</w:t>
      </w:r>
    </w:p>
    <w:p>
      <w:pPr>
        <w:pStyle w:val="Normal"/>
        <w:spacing w:lineRule="auto" w:line="240"/>
        <w:jc w:val="both"/>
        <w:rPr/>
      </w:pPr>
      <w:r>
        <w:rPr>
          <w:rFonts w:ascii="Verdana" w:hAnsi="Verdana"/>
          <w:iCs/>
          <w:sz w:val="20"/>
        </w:rPr>
        <w:t xml:space="preserve">b.2) A multa pode ser aplicada isoladamente ou juntamente com as penalidades definidas nos itens “c” e “d” abaixo: </w:t>
      </w:r>
    </w:p>
    <w:p>
      <w:pPr>
        <w:pStyle w:val="Normal"/>
        <w:spacing w:lineRule="auto" w:line="240"/>
        <w:jc w:val="both"/>
        <w:rPr/>
      </w:pPr>
      <w:r>
        <w:rPr>
          <w:rFonts w:ascii="Verdana" w:hAnsi="Verdana"/>
          <w:iCs/>
          <w:sz w:val="20"/>
        </w:rPr>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Normal"/>
        <w:spacing w:lineRule="auto" w:line="240"/>
        <w:jc w:val="both"/>
        <w:rPr/>
      </w:pPr>
      <w:r>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jc w:val="both"/>
        <w:rPr/>
      </w:pPr>
      <w:r>
        <w:rPr>
          <w:rFonts w:ascii="Verdana" w:hAnsi="Verdana"/>
          <w:iCs/>
          <w:sz w:val="20"/>
        </w:rPr>
        <w:t>11.3. Na aplicação das sanções serão considerados:</w:t>
      </w:r>
    </w:p>
    <w:p>
      <w:pPr>
        <w:pStyle w:val="Normal"/>
        <w:spacing w:lineRule="auto" w:line="240"/>
        <w:jc w:val="both"/>
        <w:rPr/>
      </w:pPr>
      <w:r>
        <w:rPr>
          <w:rFonts w:ascii="Verdana" w:hAnsi="Verdana"/>
          <w:iCs/>
          <w:sz w:val="20"/>
        </w:rPr>
        <w:t>11.3.1. A natureza e a gravidade da infração cometida.</w:t>
      </w:r>
    </w:p>
    <w:p>
      <w:pPr>
        <w:pStyle w:val="Normal"/>
        <w:spacing w:lineRule="auto" w:line="240"/>
        <w:jc w:val="both"/>
        <w:rPr/>
      </w:pPr>
      <w:r>
        <w:rPr>
          <w:rFonts w:ascii="Verdana" w:hAnsi="Verdana"/>
          <w:iCs/>
          <w:sz w:val="20"/>
        </w:rPr>
        <w:t>11.3.2. As peculiaridades do caso concreto.</w:t>
      </w:r>
    </w:p>
    <w:p>
      <w:pPr>
        <w:pStyle w:val="Normal"/>
        <w:spacing w:lineRule="auto" w:line="240"/>
        <w:jc w:val="both"/>
        <w:rPr/>
      </w:pPr>
      <w:r>
        <w:rPr>
          <w:rFonts w:ascii="Verdana" w:hAnsi="Verdana"/>
          <w:iCs/>
          <w:sz w:val="20"/>
        </w:rPr>
        <w:t>11.3.3. As circunstâncias agravantes ou atenuantes.</w:t>
      </w:r>
    </w:p>
    <w:p>
      <w:pPr>
        <w:pStyle w:val="Normal"/>
        <w:spacing w:lineRule="auto" w:line="240"/>
        <w:jc w:val="both"/>
        <w:rPr/>
      </w:pPr>
      <w:r>
        <w:rPr>
          <w:rFonts w:ascii="Verdana" w:hAnsi="Verdana"/>
          <w:iCs/>
          <w:sz w:val="20"/>
        </w:rPr>
        <w:t>11.3.4. Os danos que dela provierem para a Administração Pública.</w:t>
      </w:r>
    </w:p>
    <w:p>
      <w:pPr>
        <w:pStyle w:val="Normal"/>
        <w:spacing w:lineRule="auto" w:line="240"/>
        <w:jc w:val="both"/>
        <w:rPr/>
      </w:pPr>
      <w:r>
        <w:rPr>
          <w:rFonts w:ascii="Verdana" w:hAnsi="Verdana"/>
          <w:iCs/>
          <w:sz w:val="20"/>
        </w:rPr>
        <w:t>11.3.5. A implantação ou o aperfeiçoamento de programa de integridade, conforme normas e orientações dos órgãos de controle.</w:t>
      </w:r>
    </w:p>
    <w:p>
      <w:pPr>
        <w:pStyle w:val="Normal"/>
        <w:spacing w:lineRule="auto" w:line="240"/>
        <w:jc w:val="both"/>
        <w:rPr/>
      </w:pPr>
      <w:r>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jc w:val="both"/>
        <w:rPr/>
      </w:pPr>
      <w:r>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jc w:val="both"/>
        <w:rPr>
          <w:rFonts w:ascii="Verdana" w:hAnsi="Verdana"/>
          <w:sz w:val="20"/>
        </w:rPr>
      </w:pPr>
      <w:r>
        <w:rPr>
          <w:rFonts w:ascii="Verdana" w:hAnsi="Verdana"/>
          <w:sz w:val="20"/>
        </w:rPr>
      </w:r>
    </w:p>
    <w:p>
      <w:pPr>
        <w:pStyle w:val="Normal"/>
        <w:spacing w:lineRule="auto" w:line="240"/>
        <w:ind w:left="-79"/>
        <w:jc w:val="both"/>
        <w:rPr/>
      </w:pPr>
      <w:r>
        <w:rPr>
          <w:rFonts w:ascii="Verdana" w:hAnsi="Verdana"/>
          <w:b/>
          <w:bCs/>
          <w:sz w:val="20"/>
          <w:lang w:eastAsia="en-US"/>
        </w:rPr>
        <w:t>12. DA HABILITAÇÃO</w:t>
      </w:r>
      <w:r>
        <w:rPr>
          <w:rFonts w:ascii="Verdana" w:hAnsi="Verdana"/>
          <w:sz w:val="20"/>
          <w:lang w:eastAsia="en-US"/>
        </w:rPr>
        <w:t xml:space="preserve"> </w:t>
      </w:r>
    </w:p>
    <w:p>
      <w:pPr>
        <w:pStyle w:val="Normal"/>
        <w:spacing w:lineRule="auto" w:line="240"/>
        <w:ind w:left="-79"/>
        <w:jc w:val="both"/>
        <w:rPr/>
      </w:pPr>
      <w:r>
        <w:rPr>
          <w:rFonts w:cs="Verdana" w:ascii="Verdana" w:hAnsi="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jc w:val="both"/>
        <w:rPr/>
      </w:pPr>
      <w:r>
        <w:rPr>
          <w:rFonts w:cs="Verdana" w:ascii="Verdana" w:hAnsi="Verdana"/>
          <w:sz w:val="20"/>
          <w:szCs w:val="20"/>
          <w:lang w:eastAsia="ar-SA"/>
        </w:rPr>
        <w:t>a) SICAF;</w:t>
      </w:r>
    </w:p>
    <w:p>
      <w:pPr>
        <w:pStyle w:val="ListParagraph"/>
        <w:spacing w:lineRule="auto" w:line="240" w:before="57" w:after="57"/>
        <w:ind w:left="0"/>
        <w:contextualSpacing/>
        <w:jc w:val="both"/>
        <w:rPr/>
      </w:pPr>
      <w:r>
        <w:rPr>
          <w:rFonts w:cs="Verdana" w:ascii="Verdana" w:hAnsi="Verdana"/>
          <w:sz w:val="20"/>
          <w:szCs w:val="20"/>
          <w:lang w:eastAsia="ar-SA"/>
        </w:rPr>
        <w:t>b) Cadastro Nacional de Empresas Inidôneas e Suspensas – CEIS, mantido pela Controladoria-Geral da União (</w:t>
      </w:r>
      <w:hyperlink r:id="rId4">
        <w:r>
          <w:rPr>
            <w:rStyle w:val="ListLabel29"/>
            <w:rFonts w:cs="Verdana" w:ascii="Verdana" w:hAnsi="Verdana"/>
            <w:sz w:val="20"/>
            <w:szCs w:val="20"/>
            <w:lang w:eastAsia="ar-SA"/>
          </w:rPr>
          <w:t>www.portaldatransparencia.gov.br/ceis</w:t>
        </w:r>
      </w:hyperlink>
      <w:r>
        <w:rPr>
          <w:rFonts w:cs="Verdana" w:ascii="Verdana" w:hAnsi="Verdana"/>
          <w:sz w:val="20"/>
          <w:szCs w:val="20"/>
          <w:lang w:eastAsia="ar-SA"/>
        </w:rPr>
        <w:t>);</w:t>
      </w:r>
    </w:p>
    <w:p>
      <w:pPr>
        <w:pStyle w:val="ListParagraph"/>
        <w:spacing w:lineRule="auto" w:line="240" w:before="57" w:after="57"/>
        <w:ind w:left="0"/>
        <w:contextualSpacing/>
        <w:jc w:val="both"/>
        <w:rPr/>
      </w:pPr>
      <w:r>
        <w:rPr>
          <w:rFonts w:cs="Verdana" w:ascii="Verdana" w:hAnsi="Verdana"/>
          <w:sz w:val="20"/>
          <w:szCs w:val="20"/>
          <w:lang w:eastAsia="ar-SA"/>
        </w:rPr>
        <w:t>c) Cadastro Nacional de Condenações Cíveis por Atos de Improbidade Administrativa, mantido pelo Conselho Nacional de Justiça (</w:t>
      </w:r>
      <w:hyperlink r:id="rId5">
        <w:r>
          <w:rPr>
            <w:rStyle w:val="ListLabel29"/>
            <w:rFonts w:cs="Verdana" w:ascii="Verdana" w:hAnsi="Verdana"/>
            <w:sz w:val="20"/>
            <w:szCs w:val="20"/>
            <w:lang w:eastAsia="ar-SA"/>
          </w:rPr>
          <w:t>www.cnj.jus.br/improbidade_adm/consultar_requerido.php</w:t>
        </w:r>
      </w:hyperlink>
      <w:r>
        <w:rPr>
          <w:rFonts w:cs="Verdana" w:ascii="Verdana" w:hAnsi="Verdana"/>
          <w:sz w:val="20"/>
          <w:szCs w:val="20"/>
          <w:lang w:eastAsia="ar-SA"/>
        </w:rPr>
        <w:t>).</w:t>
      </w:r>
    </w:p>
    <w:p>
      <w:pPr>
        <w:pStyle w:val="ListParagraph"/>
        <w:spacing w:lineRule="auto" w:line="240" w:before="57" w:after="57"/>
        <w:ind w:left="0"/>
        <w:contextualSpacing/>
        <w:jc w:val="both"/>
        <w:rPr/>
      </w:pPr>
      <w:r>
        <w:rPr>
          <w:rFonts w:cs="Verdana"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sz w:val="20"/>
          <w:lang w:eastAsia="ar-SA"/>
        </w:rPr>
        <w:t>e) Cadastro de empresas inid</w:t>
      </w:r>
      <w:r>
        <w:rPr>
          <w:rFonts w:cs="Verdana"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30"/>
            <w:rFonts w:cs="Verdana" w:ascii="Verdana" w:hAnsi="Verdana"/>
            <w:sz w:val="20"/>
          </w:rPr>
          <w:t>https://www.tcees.tc.br/portal-da-transparencia/consultas/lista-de</w:t>
        </w:r>
      </w:hyperlink>
      <w:r>
        <w:rPr>
          <w:rFonts w:cs="Verdana" w:ascii="Verdana" w:hAnsi="Verdana"/>
          <w:sz w:val="20"/>
        </w:rPr>
        <w:t xml:space="preserve"> responsáveis/proibidos-de-contratar/).</w:t>
      </w:r>
    </w:p>
    <w:p>
      <w:pPr>
        <w:pStyle w:val="Normal"/>
        <w:spacing w:lineRule="auto" w:line="240" w:before="57" w:after="57"/>
        <w:jc w:val="both"/>
        <w:rPr/>
      </w:pPr>
      <w:r>
        <w:rPr>
          <w:rFonts w:cs="Verdana" w:ascii="Verdana" w:hAnsi="Verdana"/>
          <w:sz w:val="20"/>
          <w:lang w:eastAsia="ar-SA"/>
        </w:rPr>
        <w:t>12.1.1. Para a consulta de licitantes pessoa jurídica poderá haver a substituição das consultas das alíneas “b”, “c” e “d” acima pela Consulta Consolidada de Pessoa Jurídica do TCU (</w:t>
      </w:r>
      <w:hyperlink r:id="rId7">
        <w:r>
          <w:rPr>
            <w:rStyle w:val="ListLabel31"/>
            <w:rFonts w:cs="Verdana" w:ascii="Verdana" w:hAnsi="Verdana"/>
            <w:sz w:val="20"/>
            <w:lang w:eastAsia="ar-SA"/>
          </w:rPr>
          <w:t>https://certidoesapf.apps.tcu.gov.br/</w:t>
        </w:r>
      </w:hyperlink>
      <w:r>
        <w:rPr>
          <w:rFonts w:cs="Verdana" w:ascii="Verdana" w:hAnsi="Verdana"/>
          <w:sz w:val="20"/>
          <w:lang w:eastAsia="ar-SA"/>
        </w:rPr>
        <w:t>);</w:t>
      </w:r>
    </w:p>
    <w:p>
      <w:pPr>
        <w:pStyle w:val="Normal"/>
        <w:spacing w:lineRule="auto" w:line="240" w:before="57" w:after="57"/>
        <w:jc w:val="both"/>
        <w:rPr/>
      </w:pPr>
      <w:r>
        <w:rPr>
          <w:rFonts w:cs="Verdana" w:ascii="Verdana" w:hAnsi="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contextualSpacing/>
        <w:jc w:val="both"/>
        <w:rPr/>
      </w:pPr>
      <w:r>
        <w:rPr>
          <w:rFonts w:cs="Verdana" w:ascii="Verdana" w:hAnsi="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contextualSpacing/>
        <w:jc w:val="both"/>
        <w:rPr/>
      </w:pPr>
      <w:r>
        <w:rPr>
          <w:rFonts w:cs="Verdana" w:ascii="Verdana" w:hAnsi="Verdana"/>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contextualSpacing/>
        <w:jc w:val="both"/>
        <w:rPr/>
      </w:pPr>
      <w:r>
        <w:rPr>
          <w:rFonts w:cs="Verdana" w:ascii="Verdana" w:hAnsi="Verdana"/>
          <w:sz w:val="20"/>
          <w:szCs w:val="20"/>
        </w:rPr>
        <w:t>12.1.2.3. O licitante será convocado para manifestação previamente à sua desclassificação.</w:t>
      </w:r>
    </w:p>
    <w:p>
      <w:pPr>
        <w:pStyle w:val="ListParagraph"/>
        <w:spacing w:lineRule="auto" w:line="240" w:before="57" w:after="57"/>
        <w:ind w:left="0"/>
        <w:contextualSpacing/>
        <w:jc w:val="both"/>
        <w:rPr/>
      </w:pPr>
      <w:r>
        <w:rPr>
          <w:rFonts w:cs="Verdana" w:ascii="Verdana" w:hAnsi="Verdana"/>
          <w:sz w:val="20"/>
          <w:szCs w:val="20"/>
        </w:rPr>
        <w:t>12.1.3 .Constatada a existência de sanção, o Pregoeiro reputará o licitante inabilitado, por falta de condição de participação.</w:t>
      </w:r>
    </w:p>
    <w:p>
      <w:pPr>
        <w:pStyle w:val="ListParagraph"/>
        <w:spacing w:lineRule="auto" w:line="240" w:before="57" w:after="57"/>
        <w:ind w:left="0"/>
        <w:contextualSpacing/>
        <w:jc w:val="both"/>
        <w:rPr/>
      </w:pPr>
      <w:r>
        <w:rPr>
          <w:rFonts w:cs="Verdana" w:ascii="Verdana" w:hAnsi="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contextualSpacing/>
        <w:jc w:val="both"/>
        <w:rPr/>
      </w:pPr>
      <w:r>
        <w:rPr>
          <w:rFonts w:cs="Verdana" w:ascii="Verdana" w:hAnsi="Verdana"/>
          <w:sz w:val="20"/>
          <w:szCs w:val="20"/>
          <w:lang w:eastAsia="ar-SA"/>
        </w:rPr>
        <w:t xml:space="preserve">12.2. </w:t>
      </w:r>
      <w:r>
        <w:rPr>
          <w:rFonts w:cs="Verdana" w:ascii="Verdana" w:hAnsi="Verdana"/>
          <w:sz w:val="20"/>
          <w:szCs w:val="20"/>
        </w:rPr>
        <w:t>Caso atendidas as condições de participação, a habilitação dos licitantes será verificada por meio do SICAF, nos documentos por ele abrangidos</w:t>
      </w:r>
      <w:r>
        <w:rPr>
          <w:rFonts w:cs="Verdana"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contextualSpacing/>
        <w:jc w:val="both"/>
        <w:rPr/>
      </w:pPr>
      <w:r>
        <w:rPr>
          <w:rFonts w:cs="Verdana" w:ascii="Verdana" w:hAnsi="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contextualSpacing/>
        <w:jc w:val="both"/>
        <w:rPr/>
      </w:pPr>
      <w:r>
        <w:rPr>
          <w:rFonts w:cs="Verdana" w:ascii="Verdana" w:hAnsi="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contextualSpacing/>
        <w:jc w:val="both"/>
        <w:rPr/>
      </w:pPr>
      <w:r>
        <w:rPr>
          <w:rFonts w:cs="Verdana" w:ascii="Verdana" w:hAnsi="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contextualSpacing/>
        <w:jc w:val="both"/>
        <w:rPr/>
      </w:pPr>
      <w:r>
        <w:rPr>
          <w:rFonts w:cs="Verdana" w:ascii="Verdana" w:hAnsi="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contextualSpacing/>
        <w:jc w:val="both"/>
        <w:rPr/>
      </w:pPr>
      <w:r>
        <w:rPr>
          <w:rFonts w:cs="Verdana" w:ascii="Verdana" w:hAnsi="Verdana"/>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40" w:before="57" w:after="57"/>
        <w:ind w:left="0"/>
        <w:contextualSpacing/>
        <w:jc w:val="both"/>
        <w:rPr/>
      </w:pPr>
      <w:r>
        <w:rPr>
          <w:rFonts w:cs="Verdana" w:ascii="Verdana" w:hAnsi="Verdana"/>
          <w:sz w:val="20"/>
          <w:szCs w:val="20"/>
        </w:rPr>
        <w:t>12.5. Não serão aceitos documentos de habilitação com indicação de CNPJ/CPF diferentes, salvo aqueles legalmente permitidos.</w:t>
      </w:r>
    </w:p>
    <w:p>
      <w:pPr>
        <w:pStyle w:val="ListParagraph"/>
        <w:spacing w:lineRule="auto" w:line="240" w:before="57" w:after="57"/>
        <w:ind w:left="0"/>
        <w:contextualSpacing/>
        <w:jc w:val="both"/>
        <w:rPr/>
      </w:pPr>
      <w:r>
        <w:rPr>
          <w:rFonts w:cs="Verdana" w:ascii="Verdana" w:hAnsi="Verdana"/>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12.7. Os licitantes deverão encaminhar, nos termos deste Edital, a documentação relacionada nos itens a seguir, para fins de habilitação:</w:t>
      </w:r>
    </w:p>
    <w:p>
      <w:pPr>
        <w:pStyle w:val="ListParagraph"/>
        <w:spacing w:lineRule="auto" w:line="240" w:before="0" w:after="0"/>
        <w:ind w:left="0"/>
        <w:contextualSpacing/>
        <w:jc w:val="both"/>
        <w:rPr/>
      </w:pPr>
      <w:r>
        <w:rPr>
          <w:rFonts w:cs="Verdana" w:ascii="Verdana" w:hAnsi="Verdana"/>
          <w:b/>
          <w:bCs/>
          <w:sz w:val="20"/>
          <w:szCs w:val="20"/>
        </w:rPr>
        <w:t>12.8. Habilitação jurídica:</w:t>
      </w:r>
    </w:p>
    <w:p>
      <w:pPr>
        <w:pStyle w:val="ListParagraph"/>
        <w:spacing w:lineRule="auto" w:line="240" w:before="57" w:after="57"/>
        <w:ind w:left="0"/>
        <w:contextualSpacing/>
        <w:jc w:val="both"/>
        <w:rPr/>
      </w:pPr>
      <w:r>
        <w:rPr>
          <w:rFonts w:cs="Verdana" w:ascii="Verdana" w:hAnsi="Verdana"/>
          <w:sz w:val="20"/>
          <w:szCs w:val="20"/>
        </w:rPr>
        <w:t>12.8.1. No caso de empresário individual: inscrição no Registro Público de Empresas Mercantis, a cargo da Junta Comercial da respectiva sede;</w:t>
      </w:r>
    </w:p>
    <w:p>
      <w:pPr>
        <w:pStyle w:val="ListParagraph"/>
        <w:spacing w:lineRule="auto" w:line="240" w:before="57" w:after="57"/>
        <w:ind w:left="0"/>
        <w:contextualSpacing/>
        <w:jc w:val="both"/>
        <w:rPr/>
      </w:pPr>
      <w:r>
        <w:rPr>
          <w:rFonts w:cs="Verdana" w:ascii="Verdana" w:hAnsi="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8">
        <w:r>
          <w:rPr>
            <w:rStyle w:val="ListLabel32"/>
            <w:rFonts w:cs="Verdana" w:ascii="Verdana" w:hAnsi="Verdana"/>
            <w:sz w:val="20"/>
            <w:szCs w:val="20"/>
          </w:rPr>
          <w:t>www.portaldoempreendedor.gov.br</w:t>
        </w:r>
      </w:hyperlink>
      <w:r>
        <w:rPr>
          <w:rFonts w:cs="Verdana" w:ascii="Verdana" w:hAnsi="Verdana"/>
          <w:sz w:val="20"/>
          <w:szCs w:val="20"/>
        </w:rPr>
        <w:t>;</w:t>
      </w:r>
    </w:p>
    <w:p>
      <w:pPr>
        <w:pStyle w:val="ListParagraph"/>
        <w:spacing w:lineRule="auto" w:line="240" w:before="57" w:after="57"/>
        <w:ind w:left="0"/>
        <w:contextualSpacing/>
        <w:jc w:val="both"/>
        <w:rPr/>
      </w:pPr>
      <w:r>
        <w:rPr>
          <w:rFonts w:cs="Verdana" w:ascii="Verdana" w:hAnsi="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contextualSpacing/>
        <w:jc w:val="both"/>
        <w:rPr/>
      </w:pPr>
      <w:r>
        <w:rPr>
          <w:rFonts w:cs="Verdana" w:ascii="Verdana" w:hAnsi="Verdana"/>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contextualSpacing/>
        <w:jc w:val="both"/>
        <w:rPr/>
      </w:pPr>
      <w:r>
        <w:rPr>
          <w:rFonts w:cs="Verdana" w:ascii="Verdana" w:hAnsi="Verdana"/>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contextualSpacing/>
        <w:jc w:val="both"/>
        <w:rPr/>
      </w:pPr>
      <w:r>
        <w:rPr>
          <w:rFonts w:cs="Verdana" w:ascii="Verdana" w:hAnsi="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contextualSpacing/>
        <w:jc w:val="both"/>
        <w:rPr/>
      </w:pPr>
      <w:r>
        <w:rPr>
          <w:rFonts w:cs="Verdana" w:ascii="Verdana" w:hAnsi="Verdana"/>
          <w:sz w:val="20"/>
          <w:szCs w:val="20"/>
        </w:rPr>
        <w:t>12.8.7. No caso de empresa ou sociedade estrangeira em funcionamento no País: decreto de autorização;</w:t>
      </w:r>
    </w:p>
    <w:p>
      <w:pPr>
        <w:pStyle w:val="ListParagraph"/>
        <w:spacing w:lineRule="auto" w:line="240" w:before="57" w:after="57"/>
        <w:ind w:left="0"/>
        <w:contextualSpacing/>
        <w:jc w:val="both"/>
        <w:rPr/>
      </w:pPr>
      <w:r>
        <w:rPr>
          <w:rFonts w:cs="Verdana" w:ascii="Verdana" w:hAnsi="Verdana"/>
          <w:sz w:val="20"/>
          <w:szCs w:val="20"/>
        </w:rPr>
        <w:t xml:space="preserve">12.8.8. </w:t>
      </w:r>
      <w:r>
        <w:rPr>
          <w:rFonts w:cs="Verdana" w:ascii="Verdana" w:hAnsi="Verdana"/>
          <w:bCs/>
          <w:sz w:val="20"/>
          <w:szCs w:val="20"/>
        </w:rPr>
        <w:t>Os documentos acima deverão estar acompanhados de todas as alterações ou da consolidação respectiva.</w:t>
      </w:r>
    </w:p>
    <w:p>
      <w:pPr>
        <w:pStyle w:val="ListParagraph"/>
        <w:spacing w:lineRule="auto" w:line="240" w:before="57" w:after="57"/>
        <w:ind w:left="0"/>
        <w:contextualSpacing/>
        <w:jc w:val="both"/>
        <w:rPr/>
      </w:pPr>
      <w:r>
        <w:rPr>
          <w:rFonts w:cs="Verdana" w:ascii="Verdana" w:hAnsi="Verdana"/>
          <w:b/>
          <w:sz w:val="20"/>
          <w:szCs w:val="20"/>
        </w:rPr>
        <w:t>12.09. Qualificação Econômico-Financeira</w:t>
      </w:r>
      <w:r>
        <w:rPr>
          <w:rFonts w:cs="Verdana" w:ascii="Verdana" w:hAnsi="Verdana"/>
          <w:sz w:val="20"/>
          <w:szCs w:val="20"/>
        </w:rPr>
        <w:t>.</w:t>
      </w:r>
    </w:p>
    <w:p>
      <w:pPr>
        <w:pStyle w:val="Normal"/>
        <w:tabs>
          <w:tab w:val="clear" w:pos="708"/>
          <w:tab w:val="left" w:pos="850" w:leader="none"/>
        </w:tabs>
        <w:spacing w:lineRule="auto" w:line="240" w:before="57" w:after="57"/>
        <w:jc w:val="both"/>
        <w:rPr/>
      </w:pPr>
      <w:r>
        <w:rPr>
          <w:rFonts w:cs="Verdana" w:ascii="Verdana" w:hAnsi="Verdana"/>
          <w:sz w:val="20"/>
        </w:rPr>
        <w:t>12.9.1.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pacing w:lineRule="auto" w:line="240" w:before="57" w:after="57"/>
        <w:jc w:val="both"/>
        <w:rPr/>
      </w:pPr>
      <w:r>
        <w:rPr>
          <w:rFonts w:cs="Verdana" w:ascii="Verdana" w:hAnsi="Verdana"/>
          <w:sz w:val="20"/>
        </w:rPr>
        <w:t>12.9.2.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jc w:val="both"/>
        <w:rPr/>
      </w:pPr>
      <w:r>
        <w:rPr>
          <w:rFonts w:cs="Verdana" w:ascii="Verdana" w:hAnsi="Verdana"/>
          <w:sz w:val="20"/>
        </w:rPr>
        <w:t>12.9.3. Para a contagem do prazo estabelecido na letra “a” deste capítulo, será contado a partir do primeiro dia que antecede a data da realização desta dispensa de licitação.</w:t>
      </w:r>
    </w:p>
    <w:p>
      <w:pPr>
        <w:pStyle w:val="Normal"/>
        <w:tabs>
          <w:tab w:val="clear" w:pos="708"/>
          <w:tab w:val="left" w:pos="850" w:leader="none"/>
        </w:tabs>
        <w:spacing w:lineRule="auto" w:line="240" w:before="57" w:after="57"/>
        <w:ind w:left="-79"/>
        <w:jc w:val="both"/>
        <w:rPr/>
      </w:pPr>
      <w:r>
        <w:rPr>
          <w:rFonts w:cs="Verdana" w:ascii="Verdana" w:hAnsi="Verdana"/>
          <w:iCs/>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40"/>
        <w:ind w:left="-79"/>
        <w:jc w:val="both"/>
        <w:rPr>
          <w:rFonts w:ascii="Verdana" w:hAnsi="Verdana"/>
          <w:sz w:val="20"/>
        </w:rPr>
      </w:pPr>
      <w:r>
        <w:rPr>
          <w:rFonts w:ascii="Verdana" w:hAnsi="Verdana"/>
          <w:sz w:val="20"/>
        </w:rPr>
      </w:r>
    </w:p>
    <w:p>
      <w:pPr>
        <w:pStyle w:val="Normal"/>
        <w:spacing w:lineRule="auto" w:line="240"/>
        <w:jc w:val="both"/>
        <w:rPr/>
      </w:pPr>
      <w:r>
        <w:rPr>
          <w:rFonts w:ascii="Verdana" w:hAnsi="Verdana"/>
          <w:b/>
          <w:bCs/>
          <w:sz w:val="20"/>
        </w:rPr>
        <w:t>13. CRITÉRIOS DE PAGAMENTO</w:t>
      </w:r>
    </w:p>
    <w:p>
      <w:pPr>
        <w:pStyle w:val="Normal"/>
        <w:spacing w:lineRule="auto" w:line="240"/>
        <w:jc w:val="both"/>
        <w:rPr/>
      </w:pPr>
      <w:r>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pPr>
        <w:pStyle w:val="Normal"/>
        <w:spacing w:lineRule="auto" w:line="240"/>
        <w:ind w:left="-22"/>
        <w:jc w:val="both"/>
        <w:rPr/>
      </w:pPr>
      <w:r>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33"/>
          <w:sz w:val="20"/>
          <w:rFonts w:ascii="Verdana" w:hAnsi="Verdana"/>
        </w:rPr>
        <w:instrText xml:space="preserve"> HYPERLINK "http://www.planalto.gov.br/ccivil_03/_ato2019-2022/2021/lei/L14133.htm" \l "art75"</w:instrText>
      </w:r>
      <w:r>
        <w:rPr>
          <w:rStyle w:val="ListLabel33"/>
          <w:sz w:val="20"/>
          <w:rFonts w:ascii="Verdana" w:hAnsi="Verdana"/>
        </w:rPr>
        <w:fldChar w:fldCharType="separate"/>
      </w:r>
      <w:r>
        <w:rPr>
          <w:rStyle w:val="ListLabel33"/>
          <w:rFonts w:ascii="Verdana" w:hAnsi="Verdana"/>
          <w:sz w:val="20"/>
        </w:rPr>
        <w:t>inciso II do art. 75 da Lei nº 14.133, de 2021</w:t>
      </w:r>
      <w:r>
        <w:rPr>
          <w:rStyle w:val="ListLabel33"/>
          <w:sz w:val="20"/>
          <w:rFonts w:ascii="Verdana" w:hAnsi="Verdana"/>
        </w:rPr>
        <w:fldChar w:fldCharType="end"/>
      </w:r>
      <w:r>
        <w:rPr>
          <w:rFonts w:ascii="Verdana" w:hAnsi="Verdana"/>
          <w:sz w:val="20"/>
        </w:rPr>
        <w:t>.</w:t>
      </w:r>
    </w:p>
    <w:p>
      <w:pPr>
        <w:pStyle w:val="Normal"/>
        <w:spacing w:lineRule="auto" w:line="240"/>
        <w:ind w:left="-22"/>
        <w:jc w:val="both"/>
        <w:rPr/>
      </w:pPr>
      <w:r>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jc w:val="both"/>
        <w:rPr/>
      </w:pPr>
      <w:r>
        <w:rPr>
          <w:rFonts w:ascii="Verdana" w:hAnsi="Verdana"/>
          <w:sz w:val="20"/>
        </w:rPr>
        <w:t>- O prazo de validade;</w:t>
      </w:r>
    </w:p>
    <w:p>
      <w:pPr>
        <w:pStyle w:val="Normal"/>
        <w:tabs>
          <w:tab w:val="clear" w:pos="708"/>
          <w:tab w:val="left" w:pos="563" w:leader="none"/>
        </w:tabs>
        <w:spacing w:lineRule="auto" w:line="240"/>
        <w:ind w:left="432"/>
        <w:jc w:val="both"/>
        <w:rPr/>
      </w:pPr>
      <w:r>
        <w:rPr>
          <w:rFonts w:ascii="Verdana" w:hAnsi="Verdana"/>
          <w:sz w:val="20"/>
        </w:rPr>
        <w:t xml:space="preserve">- A data da emissão; </w:t>
      </w:r>
    </w:p>
    <w:p>
      <w:pPr>
        <w:pStyle w:val="Normal"/>
        <w:tabs>
          <w:tab w:val="clear" w:pos="708"/>
          <w:tab w:val="left" w:pos="563" w:leader="none"/>
        </w:tabs>
        <w:spacing w:lineRule="auto" w:line="240"/>
        <w:ind w:left="432"/>
        <w:jc w:val="both"/>
        <w:rPr/>
      </w:pPr>
      <w:r>
        <w:rPr>
          <w:rFonts w:ascii="Verdana" w:hAnsi="Verdana"/>
          <w:sz w:val="20"/>
        </w:rPr>
        <w:t xml:space="preserve">- Os dados do contrato e do órgão contratante; </w:t>
      </w:r>
    </w:p>
    <w:p>
      <w:pPr>
        <w:pStyle w:val="Normal"/>
        <w:tabs>
          <w:tab w:val="clear" w:pos="708"/>
          <w:tab w:val="left" w:pos="563" w:leader="none"/>
        </w:tabs>
        <w:spacing w:lineRule="auto" w:line="240"/>
        <w:ind w:left="432"/>
        <w:jc w:val="both"/>
        <w:rPr/>
      </w:pPr>
      <w:r>
        <w:rPr>
          <w:rFonts w:ascii="Verdana" w:hAnsi="Verdana"/>
          <w:sz w:val="20"/>
        </w:rPr>
        <w:t xml:space="preserve">- O período respectivo de execução do contrato; </w:t>
      </w:r>
    </w:p>
    <w:p>
      <w:pPr>
        <w:pStyle w:val="Normal"/>
        <w:tabs>
          <w:tab w:val="clear" w:pos="708"/>
          <w:tab w:val="left" w:pos="563" w:leader="none"/>
        </w:tabs>
        <w:spacing w:lineRule="auto" w:line="240"/>
        <w:ind w:left="432"/>
        <w:jc w:val="both"/>
        <w:rPr/>
      </w:pPr>
      <w:r>
        <w:rPr>
          <w:rFonts w:ascii="Verdana" w:hAnsi="Verdana"/>
          <w:sz w:val="20"/>
        </w:rPr>
        <w:t xml:space="preserve">- O valor a pagar; e </w:t>
      </w:r>
    </w:p>
    <w:p>
      <w:pPr>
        <w:pStyle w:val="Normal"/>
        <w:tabs>
          <w:tab w:val="clear" w:pos="708"/>
          <w:tab w:val="left" w:pos="563" w:leader="none"/>
        </w:tabs>
        <w:spacing w:lineRule="auto" w:line="240"/>
        <w:ind w:left="432"/>
        <w:jc w:val="both"/>
        <w:rPr/>
      </w:pPr>
      <w:r>
        <w:rPr>
          <w:rFonts w:ascii="Verdana" w:hAnsi="Verdana"/>
          <w:sz w:val="20"/>
        </w:rPr>
        <w:t>- Eventual destaque do valor de retenções tributárias cabíveis.</w:t>
      </w:r>
    </w:p>
    <w:p>
      <w:pPr>
        <w:pStyle w:val="Normal"/>
        <w:tabs>
          <w:tab w:val="clear" w:pos="708"/>
          <w:tab w:val="left" w:pos="0" w:leader="none"/>
          <w:tab w:val="left" w:pos="563" w:leader="none"/>
        </w:tabs>
        <w:spacing w:lineRule="auto" w:line="240"/>
        <w:ind w:left="-22"/>
        <w:jc w:val="both"/>
        <w:rPr/>
      </w:pPr>
      <w:r>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jc w:val="both"/>
        <w:rPr/>
      </w:pPr>
      <w:r>
        <w:rPr>
          <w:rFonts w:ascii="Verdana" w:hAnsi="Verdana"/>
          <w:sz w:val="20"/>
        </w:rPr>
        <w:t>13.5. A</w:t>
      </w:r>
      <w:r>
        <w:rPr>
          <w:rFonts w:ascii="Verdana" w:hAnsi="Verdana"/>
          <w:sz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u w:val="none"/>
          <w:lang w:eastAsia="en-US"/>
        </w:rPr>
        <w:t>.</w:t>
      </w:r>
    </w:p>
    <w:p>
      <w:pPr>
        <w:pStyle w:val="Normal"/>
        <w:spacing w:lineRule="auto" w:line="240"/>
        <w:ind w:left="-22"/>
        <w:jc w:val="both"/>
        <w:rPr/>
      </w:pPr>
      <w:r>
        <w:rPr>
          <w:rFonts w:ascii="Verdana" w:hAnsi="Verdana"/>
          <w:sz w:val="20"/>
        </w:rPr>
        <w:t>13.6. O pagamento será efetuado no prazo de até 30 (trinta) dias úteis contados da finalização da liquidação da despesa.</w:t>
      </w:r>
    </w:p>
    <w:p>
      <w:pPr>
        <w:pStyle w:val="Normal"/>
        <w:spacing w:lineRule="auto" w:line="240"/>
        <w:ind w:left="-22"/>
        <w:jc w:val="both"/>
        <w:rPr/>
      </w:pPr>
      <w:r>
        <w:rPr>
          <w:rFonts w:ascii="Verdana" w:hAnsi="Verdana"/>
          <w:sz w:val="20"/>
        </w:rPr>
        <w:t>13.7. O pagamento será realizado por meio de ordem bancária, para crédito em banco, agência e conta corrente indicados pelo contratado.</w:t>
      </w:r>
    </w:p>
    <w:p>
      <w:pPr>
        <w:pStyle w:val="Normal"/>
        <w:spacing w:lineRule="auto" w:line="240"/>
        <w:ind w:left="-22"/>
        <w:jc w:val="both"/>
        <w:rPr/>
      </w:pPr>
      <w:r>
        <w:rPr>
          <w:rFonts w:ascii="Verdana" w:hAnsi="Verdana"/>
          <w:sz w:val="20"/>
        </w:rPr>
        <w:t>12.8. Será considerada data do pagamento o dia em que constar como emitida a ordem bancária para pagamento.</w:t>
      </w:r>
    </w:p>
    <w:p>
      <w:pPr>
        <w:pStyle w:val="Normal"/>
        <w:spacing w:lineRule="auto" w:line="240"/>
        <w:ind w:left="-79"/>
        <w:jc w:val="both"/>
        <w:rPr/>
      </w:pPr>
      <w:r>
        <w:rPr>
          <w:rFonts w:ascii="Verdana" w:hAnsi="Verdana"/>
          <w:sz w:val="20"/>
        </w:rPr>
        <w:t>13.9. Quando do pagamento, será efetuada a retenção tributária prevista na legislação aplicável.</w:t>
      </w:r>
    </w:p>
    <w:p>
      <w:pPr>
        <w:pStyle w:val="Normal"/>
        <w:spacing w:lineRule="auto" w:line="240"/>
        <w:ind w:left="-79"/>
        <w:jc w:val="both"/>
        <w:rPr/>
      </w:pPr>
      <w:r>
        <w:rPr>
          <w:rFonts w:ascii="Verdana" w:hAnsi="Verdana"/>
          <w:sz w:val="20"/>
          <w:lang w:eastAsia="en-US"/>
        </w:rPr>
        <w:t xml:space="preserve">13.10. O contratado regularmente optante pelo Simples Nacional, nos termos da </w:t>
      </w:r>
      <w:hyperlink r:id="rId9">
        <w:r>
          <w:rPr>
            <w:rStyle w:val="ListLabel34"/>
            <w:rFonts w:ascii="Verdana" w:hAnsi="Verdana"/>
            <w:sz w:val="20"/>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jc w:val="both"/>
        <w:rPr/>
      </w:pPr>
      <w:r>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lineRule="auto" w:line="240"/>
        <w:ind w:left="0"/>
        <w:jc w:val="both"/>
        <w:rPr/>
      </w:pPr>
      <w:r>
        <w:rPr>
          <w:rFonts w:ascii="Verdana" w:hAnsi="Verdana"/>
          <w:sz w:val="20"/>
          <w:szCs w:val="20"/>
        </w:rPr>
        <w:t>13.11.  Após o prazo acima referenciado, será paga multa financeira nos seguintes termos:</w:t>
      </w:r>
    </w:p>
    <w:p>
      <w:pPr>
        <w:pStyle w:val="ListParagraph"/>
        <w:tabs>
          <w:tab w:val="clear" w:pos="708"/>
          <w:tab w:val="left" w:pos="518" w:leader="none"/>
        </w:tabs>
        <w:spacing w:lineRule="auto" w:line="240"/>
        <w:ind w:left="0"/>
        <w:jc w:val="both"/>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0,33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lineRule="auto" w:line="240"/>
        <w:ind w:left="0"/>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pPr>
      <w:r>
        <w:rPr>
          <w:rFonts w:cs="Arial" w:ascii="Verdana" w:hAnsi="Verdana"/>
          <w:sz w:val="20"/>
        </w:rPr>
        <w:t xml:space="preserve">Onde: </w:t>
      </w:r>
    </w:p>
    <w:p>
      <w:pPr>
        <w:pStyle w:val="Normal"/>
        <w:suppressAutoHyphens w:val="false"/>
        <w:spacing w:lineRule="auto" w:line="240"/>
        <w:rPr/>
      </w:pPr>
      <w:r>
        <w:rPr>
          <w:rFonts w:cs="Arial" w:ascii="Verdana" w:hAnsi="Verdana"/>
          <w:sz w:val="20"/>
        </w:rPr>
        <w:t xml:space="preserve">VM = Valor da Multa Financeira; </w:t>
      </w:r>
    </w:p>
    <w:p>
      <w:pPr>
        <w:pStyle w:val="Normal"/>
        <w:suppressAutoHyphens w:val="false"/>
        <w:spacing w:lineRule="auto" w:line="240"/>
        <w:rPr/>
      </w:pPr>
      <w:r>
        <w:rPr>
          <w:rFonts w:cs="Arial" w:ascii="Verdana" w:hAnsi="Verdana"/>
          <w:sz w:val="20"/>
        </w:rPr>
        <w:t xml:space="preserve">VF = Valor da Nota Fiscal; </w:t>
      </w:r>
    </w:p>
    <w:p>
      <w:pPr>
        <w:pStyle w:val="ListParagraph"/>
        <w:tabs>
          <w:tab w:val="clear" w:pos="708"/>
          <w:tab w:val="left" w:pos="518" w:leader="none"/>
        </w:tabs>
        <w:spacing w:lineRule="auto" w:line="240"/>
        <w:ind w:left="0"/>
        <w:rPr/>
      </w:pPr>
      <w:r>
        <w:rPr>
          <w:rFonts w:eastAsia="Times New Roman" w:cs="Arial" w:ascii="Verdana" w:hAnsi="Verdana"/>
          <w:sz w:val="20"/>
          <w:szCs w:val="20"/>
        </w:rPr>
        <w:t>ND = Número de dias em atraso.</w:t>
      </w:r>
    </w:p>
    <w:p>
      <w:pPr>
        <w:pStyle w:val="ListParagraph"/>
        <w:tabs>
          <w:tab w:val="clear" w:pos="708"/>
          <w:tab w:val="left" w:pos="518" w:leader="none"/>
        </w:tabs>
        <w:spacing w:lineRule="auto" w:line="240"/>
        <w:ind w:left="0"/>
        <w:rPr/>
      </w:pPr>
      <w:r>
        <w:rPr>
          <w:rFonts w:eastAsia="Times New Roman" w:cs="Arial" w:ascii="Verdana" w:hAnsi="Verdana"/>
          <w:sz w:val="20"/>
          <w:szCs w:val="20"/>
        </w:rPr>
        <w:t xml:space="preserve">13.12.. </w:t>
      </w:r>
      <w:r>
        <w:rPr>
          <w:rFonts w:cs="Arial" w:ascii="Verdana" w:hAnsi="Verdana"/>
          <w:sz w:val="20"/>
          <w:szCs w:val="20"/>
        </w:rPr>
        <w:t>A NOTA FISCAL ELETRÔNICA deverá conter o mesmo CNPJ e razão social apresentados quando na proposta, assim como, o número da contratação, o (s) objeto (s), os valores unitários e totais.</w:t>
      </w:r>
    </w:p>
    <w:p>
      <w:pPr>
        <w:pStyle w:val="ListParagraph"/>
        <w:tabs>
          <w:tab w:val="clear" w:pos="708"/>
          <w:tab w:val="left" w:pos="518" w:leader="none"/>
        </w:tabs>
        <w:spacing w:lineRule="auto" w:line="240" w:before="0" w:after="29"/>
        <w:ind w:left="0"/>
        <w:contextualSpacing/>
        <w:rPr/>
      </w:pPr>
      <w:r>
        <w:rPr>
          <w:rFonts w:eastAsia="Times New Roman" w:cs="Arial" w:ascii="Verdana" w:hAnsi="Verdana"/>
          <w:sz w:val="20"/>
          <w:szCs w:val="20"/>
        </w:rPr>
        <w:t>13.13.</w:t>
      </w:r>
      <w:r>
        <w:rPr>
          <w:rFonts w:cs="Arial" w:ascii="Verdana" w:hAnsi="Verdana"/>
          <w:sz w:val="20"/>
          <w:szCs w:val="20"/>
        </w:rPr>
        <w:t xml:space="preserve"> Qualquer alteração feita no contrato social, ato constitutivo ou estatuto deverá ser ois comunicado ao CONTRATANTE, mediante documentação própria, para apreciação da autoridade competente. </w:t>
      </w:r>
      <w:r>
        <w:rPr>
          <w:rFonts w:eastAsia="Times New Roman" w:cs="Arial" w:ascii="Verdana" w:hAnsi="Verdana"/>
          <w:sz w:val="20"/>
          <w:szCs w:val="20"/>
        </w:rPr>
        <w:t xml:space="preserve">13.14. </w:t>
      </w:r>
      <w:r>
        <w:rPr>
          <w:rFonts w:cs="Arial" w:ascii="Verdana" w:hAnsi="Verdana"/>
          <w:sz w:val="20"/>
          <w:szCs w:val="20"/>
        </w:rPr>
        <w:t xml:space="preserve">O CONTRATANTE poderá deduzir do pagamento importâncias que a qualquer título lhe forem devidos pela empresa CONTRATADA, em decorrência de descumprimento de suas obrigações.13.15. </w:t>
      </w:r>
      <w:r>
        <w:rPr>
          <w:rFonts w:cs="Arial" w:ascii="Verdana" w:hAnsi="Verdana"/>
          <w:sz w:val="20"/>
          <w:szCs w:val="20"/>
          <w:lang w:eastAsia="en-US"/>
        </w:rPr>
        <w:t xml:space="preserve">Para a efetivação do pagamento, a CONTRATADA deverá manter as mesmas </w:t>
      </w:r>
      <w:r>
        <w:rPr>
          <w:rFonts w:cs="Arial" w:ascii="Verdana" w:hAnsi="Verdana"/>
          <w:sz w:val="20"/>
          <w:szCs w:val="20"/>
        </w:rPr>
        <w:t>condições relativas à proposta de preço e a habilitação.</w:t>
      </w:r>
    </w:p>
    <w:p>
      <w:pPr>
        <w:pStyle w:val="Default"/>
        <w:tabs>
          <w:tab w:val="clear" w:pos="708"/>
          <w:tab w:val="left" w:pos="563" w:leader="none"/>
        </w:tabs>
        <w:spacing w:lineRule="auto" w:line="240"/>
        <w:ind w:left="-22"/>
        <w:jc w:val="both"/>
        <w:rPr>
          <w:rFonts w:ascii="Verdana" w:hAnsi="Verdana"/>
          <w:color w:val="auto"/>
          <w:sz w:val="20"/>
          <w:szCs w:val="20"/>
        </w:rPr>
      </w:pPr>
      <w:r>
        <w:rPr>
          <w:rFonts w:ascii="Verdana" w:hAnsi="Verdana"/>
          <w:color w:val="auto"/>
          <w:sz w:val="20"/>
          <w:szCs w:val="20"/>
        </w:rPr>
      </w:r>
    </w:p>
    <w:p>
      <w:pPr>
        <w:pStyle w:val="Normal"/>
        <w:suppressAutoHyphens w:val="false"/>
        <w:spacing w:lineRule="auto" w:line="240"/>
        <w:jc w:val="both"/>
        <w:rPr/>
      </w:pPr>
      <w:r>
        <w:rPr>
          <w:rFonts w:cs="Arial" w:ascii="Verdana" w:hAnsi="Verdana"/>
          <w:b/>
          <w:sz w:val="20"/>
        </w:rPr>
        <w:t>14. CONTRATAÇÕES CORRELATAS E/OU INTERDEPENDENTES</w:t>
      </w:r>
    </w:p>
    <w:p>
      <w:pPr>
        <w:pStyle w:val="Normal"/>
        <w:suppressAutoHyphens w:val="false"/>
        <w:spacing w:lineRule="auto" w:line="240"/>
        <w:jc w:val="both"/>
        <w:rPr/>
      </w:pPr>
      <w:r>
        <w:rPr>
          <w:rFonts w:cs="Arial" w:ascii="Verdana" w:hAnsi="Verdana"/>
          <w:sz w:val="20"/>
        </w:rPr>
        <w:t>14.1</w:t>
      </w:r>
      <w:r>
        <w:rPr>
          <w:rFonts w:cs="Arial" w:ascii="Verdana" w:hAnsi="Verdana"/>
          <w:b/>
          <w:bCs/>
          <w:sz w:val="20"/>
        </w:rPr>
        <w:t>.</w:t>
      </w:r>
      <w:r>
        <w:rPr>
          <w:rFonts w:cs="Arial" w:ascii="Verdana" w:hAnsi="Verdana"/>
          <w:sz w:val="20"/>
        </w:rPr>
        <w:t xml:space="preserve"> Não se verifica contratações correlatas ou interdependentes para a viabilidade e contratação desta demanda.</w:t>
      </w:r>
    </w:p>
    <w:p>
      <w:pPr>
        <w:pStyle w:val="Normal"/>
        <w:suppressAutoHyphens w:val="false"/>
        <w:spacing w:lineRule="auto" w:line="240"/>
        <w:jc w:val="both"/>
        <w:rPr>
          <w:rFonts w:ascii="Verdana" w:hAnsi="Verdana" w:cs="Arial"/>
          <w:sz w:val="20"/>
        </w:rPr>
      </w:pPr>
      <w:r>
        <w:rPr>
          <w:rFonts w:cs="Arial" w:ascii="Verdana" w:hAnsi="Verdana"/>
          <w:sz w:val="20"/>
        </w:rPr>
      </w:r>
    </w:p>
    <w:p>
      <w:pPr>
        <w:pStyle w:val="Normal"/>
        <w:spacing w:lineRule="auto" w:line="240"/>
        <w:jc w:val="both"/>
        <w:rPr/>
      </w:pPr>
      <w:r>
        <w:rPr>
          <w:rFonts w:cs="Arial" w:ascii="Verdana" w:hAnsi="Verdana"/>
          <w:b/>
          <w:sz w:val="20"/>
        </w:rPr>
        <w:t>15. PROVIDÊNCIAS A SEREM ADOTADAS</w:t>
      </w:r>
    </w:p>
    <w:p>
      <w:pPr>
        <w:pStyle w:val="Normal"/>
        <w:spacing w:lineRule="auto" w:line="240"/>
        <w:jc w:val="both"/>
        <w:rPr/>
      </w:pPr>
      <w:r>
        <w:rPr>
          <w:rFonts w:ascii="Verdana" w:hAnsi="Verdana"/>
          <w:sz w:val="20"/>
        </w:rPr>
        <w:t>a)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40"/>
        <w:jc w:val="both"/>
        <w:rPr/>
      </w:pPr>
      <w:r>
        <w:rPr>
          <w:rFonts w:ascii="Verdana" w:hAnsi="Verdana"/>
          <w:sz w:val="20"/>
        </w:rPr>
        <w:t xml:space="preserve">b) No caso de interrupção das entregas, por parte da contratada, o gestor do contrato tomará as providências cabíveis, de acordo com cláusulas do edital e contrato. </w:t>
      </w:r>
    </w:p>
    <w:p>
      <w:pPr>
        <w:pStyle w:val="Normal"/>
        <w:spacing w:lineRule="auto" w:line="240"/>
        <w:jc w:val="both"/>
        <w:rPr>
          <w:rFonts w:ascii="Verdana" w:hAnsi="Verdana"/>
          <w:sz w:val="20"/>
        </w:rPr>
      </w:pPr>
      <w:r>
        <w:rPr>
          <w:rFonts w:ascii="Verdana" w:hAnsi="Verdana"/>
          <w:sz w:val="20"/>
        </w:rPr>
      </w:r>
    </w:p>
    <w:p>
      <w:pPr>
        <w:pStyle w:val="Normal"/>
        <w:suppressAutoHyphens w:val="false"/>
        <w:spacing w:lineRule="auto" w:line="240"/>
        <w:jc w:val="both"/>
        <w:rPr/>
      </w:pPr>
      <w:r>
        <w:rPr>
          <w:rFonts w:cs="Arial" w:ascii="Verdana" w:hAnsi="Verdana"/>
          <w:b/>
          <w:sz w:val="20"/>
        </w:rPr>
        <w:t>16. POSSÍVEIS IMPACTOS AMBIENTAIS</w:t>
      </w:r>
    </w:p>
    <w:p>
      <w:pPr>
        <w:pStyle w:val="Normal"/>
        <w:spacing w:lineRule="auto" w:line="240"/>
        <w:jc w:val="both"/>
        <w:rPr/>
      </w:pPr>
      <w:r>
        <w:rPr>
          <w:rFonts w:ascii="Verdana" w:hAnsi="Verdana"/>
          <w:sz w:val="20"/>
        </w:rPr>
        <w:t>16.1 Não se verifica impactos ambientais da contratação.</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cs="Arial" w:ascii="Verdana" w:hAnsi="Verdana"/>
          <w:b/>
          <w:sz w:val="20"/>
        </w:rPr>
        <w:t>17. DECLARAÇÃO E JUSTIFICATIVA DA VIABILIDADE</w:t>
      </w:r>
    </w:p>
    <w:p>
      <w:pPr>
        <w:pStyle w:val="Normal"/>
        <w:spacing w:lineRule="auto" w:line="240"/>
        <w:jc w:val="both"/>
        <w:rPr/>
      </w:pPr>
      <w:r>
        <w:rPr>
          <w:rFonts w:ascii="Verdana" w:hAnsi="Verdana"/>
          <w:sz w:val="20"/>
        </w:rPr>
        <w:t>a) Neste sentido, a equipe de planejamento deste ETP e de acordo com a autoridade deste requerente, declara viável esta contratação, com base nos elementos apresentados neste documento.</w:t>
      </w:r>
    </w:p>
    <w:p>
      <w:pPr>
        <w:pStyle w:val="Normal"/>
        <w:spacing w:lineRule="auto" w:line="240"/>
        <w:jc w:val="both"/>
        <w:rPr/>
      </w:pPr>
      <w:r>
        <w:rPr>
          <w:rFonts w:ascii="Verdana" w:hAnsi="Verdana"/>
          <w:sz w:val="20"/>
        </w:rPr>
        <w:t xml:space="preserve">b) Considerando a necessidade de aquisição de gêneros alimentícios, itens estes fracassados no pregão 45/2025 por meio de pregão eletrônico, para atender as necessidades das Escolas da Rede Pública Municipal de São Gabriel da Palha, através do Programa Nacional de Alimentação Escolar, uma vez que os itens são essenciais para a alimentação dos estudantes celíacos, com restrição ao glúten e restrição a lactose. </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ascii="Verdana" w:hAnsi="Verdana"/>
          <w:b/>
          <w:bCs/>
          <w:sz w:val="20"/>
        </w:rPr>
        <w:t xml:space="preserve">18. ADEQUAÇÃO ORÇAMENTÁRIA </w:t>
      </w:r>
    </w:p>
    <w:p>
      <w:pPr>
        <w:pStyle w:val="Normal"/>
        <w:spacing w:lineRule="auto" w:line="240"/>
        <w:jc w:val="both"/>
        <w:rPr/>
      </w:pPr>
      <w:r>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sz w:val="20"/>
        </w:rPr>
      </w:pPr>
      <w:r>
        <w:rPr>
          <w:rFonts w:ascii="Verdana" w:hAnsi="Verdana"/>
          <w:sz w:val="20"/>
        </w:rPr>
      </w:r>
    </w:p>
    <w:p>
      <w:pPr>
        <w:pStyle w:val="Normal"/>
        <w:widowControl/>
        <w:numPr>
          <w:ilvl w:val="0"/>
          <w:numId w:val="1"/>
        </w:numPr>
        <w:suppressAutoHyphens w:val="true"/>
        <w:bidi w:val="0"/>
        <w:spacing w:lineRule="auto" w:line="240" w:before="0" w:after="0"/>
        <w:ind w:hanging="0" w:left="0" w:right="0"/>
        <w:jc w:val="both"/>
        <w:rPr/>
      </w:pPr>
      <w:r>
        <w:rPr>
          <w:rFonts w:ascii="Verdana" w:hAnsi="Verdana"/>
          <w:sz w:val="20"/>
        </w:rPr>
        <w:t>FICHA - FONTE 00598-1550000000000 o valor de</w:t>
      </w:r>
      <w:r>
        <w:rPr>
          <w:rFonts w:cs="Arial" w:ascii="Verdana" w:hAnsi="Verdana"/>
          <w:sz w:val="20"/>
          <w:lang w:eastAsia="en-US"/>
        </w:rPr>
        <w:t xml:space="preserve"> R$ 7.522,20 (sete mil quinhentos e vinte e dois reais e vinte centavos)</w:t>
      </w:r>
    </w:p>
    <w:p>
      <w:pPr>
        <w:pStyle w:val="Normal"/>
        <w:spacing w:lineRule="auto" w:line="240"/>
        <w:ind w:left="720"/>
        <w:jc w:val="both"/>
        <w:rPr>
          <w:rFonts w:ascii="Verdana" w:hAnsi="Verdana"/>
          <w:sz w:val="20"/>
        </w:rPr>
      </w:pPr>
      <w:r>
        <w:rPr>
          <w:rFonts w:ascii="Verdana" w:hAnsi="Verdana"/>
          <w:sz w:val="20"/>
        </w:rPr>
      </w:r>
    </w:p>
    <w:p>
      <w:pPr>
        <w:pStyle w:val="Normal"/>
        <w:spacing w:lineRule="auto" w:line="240"/>
        <w:jc w:val="both"/>
        <w:rPr/>
      </w:pPr>
      <w:r>
        <w:rPr>
          <w:rFonts w:ascii="Verdana" w:hAnsi="Verdana"/>
          <w:b/>
          <w:bCs/>
          <w:sz w:val="20"/>
        </w:rPr>
        <w:t>19.</w:t>
      </w:r>
      <w:r>
        <w:rPr>
          <w:rFonts w:ascii="Verdana" w:hAnsi="Verdana"/>
          <w:sz w:val="20"/>
        </w:rPr>
        <w:t xml:space="preserve"> </w:t>
      </w:r>
      <w:r>
        <w:rPr>
          <w:rFonts w:cs="Arial" w:ascii="Verdana" w:hAnsi="Verdana"/>
          <w:b/>
          <w:bCs/>
          <w:sz w:val="20"/>
        </w:rPr>
        <w:t>DOS RESPONSÁVEIS PELA ELABORAÇÃO DO TERMO DE REFERÊNCIA</w:t>
      </w:r>
    </w:p>
    <w:p>
      <w:pPr>
        <w:pStyle w:val="Normal"/>
        <w:spacing w:lineRule="auto" w:line="240"/>
        <w:jc w:val="both"/>
        <w:rPr/>
      </w:pPr>
      <w:r>
        <w:rPr>
          <w:rFonts w:cs="Arial" w:ascii="Verdana" w:hAnsi="Verdana"/>
          <w:sz w:val="20"/>
        </w:rPr>
        <w:t>19.1. A compilação das informações mencionados na elaboração deste Termo de Referência foram estruturadas/fundamentado no documento formalizador de demanda e estudo técnico preliminar que concluiu pela viabilidade da contratação, em anexo nos autos e elaborados pela secretaria requisitante.</w:t>
      </w:r>
    </w:p>
    <w:p>
      <w:pPr>
        <w:pStyle w:val="Normal"/>
        <w:spacing w:lineRule="auto" w:line="240" w:before="0" w:after="360"/>
        <w:ind w:left="360"/>
        <w:jc w:val="both"/>
        <w:rPr>
          <w:rFonts w:ascii="Verdana" w:hAnsi="Verdana" w:cs="Arial"/>
          <w:b/>
          <w:sz w:val="20"/>
          <w:u w:val="single"/>
        </w:rPr>
      </w:pPr>
      <w:r>
        <w:rPr>
          <w:rFonts w:cs="Arial" w:ascii="Verdana" w:hAnsi="Verdana"/>
          <w:b/>
          <w:sz w:val="20"/>
          <w:u w:val="single"/>
        </w:rPr>
      </w:r>
    </w:p>
    <w:p>
      <w:pPr>
        <w:pStyle w:val="Normal"/>
        <w:spacing w:lineRule="auto" w:line="240"/>
        <w:jc w:val="right"/>
        <w:rPr/>
      </w:pPr>
      <w:r>
        <w:rPr>
          <w:rFonts w:ascii="Verdana" w:hAnsi="Verdana"/>
          <w:sz w:val="20"/>
        </w:rPr>
        <w:t>São Gabriel da Palha, 04 de março de 2026</w:t>
      </w:r>
    </w:p>
    <w:p>
      <w:pPr>
        <w:pStyle w:val="Normal"/>
        <w:spacing w:lineRule="auto" w:line="240"/>
        <w:jc w:val="right"/>
        <w:rPr>
          <w:rFonts w:ascii="Verdana" w:hAnsi="Verdana" w:cs="Arial"/>
          <w:b/>
          <w:sz w:val="20"/>
          <w:u w:val="single"/>
        </w:rPr>
      </w:pPr>
      <w:r>
        <w:rPr>
          <w:rFonts w:cs="Arial" w:ascii="Verdana" w:hAnsi="Verdana"/>
          <w:b/>
          <w:sz w:val="20"/>
          <w:u w:val="single"/>
        </w:rPr>
      </w:r>
    </w:p>
    <w:p>
      <w:pPr>
        <w:pStyle w:val="Normal"/>
        <w:spacing w:lineRule="auto" w:line="240"/>
        <w:jc w:val="right"/>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cs="Arial" w:ascii="Verdana" w:hAnsi="Verdana"/>
          <w:b/>
          <w:bCs/>
          <w:sz w:val="20"/>
        </w:rPr>
        <w:t>Elaborado por:</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rPr/>
      </w:pPr>
      <w:r>
        <w:rPr>
          <w:rFonts w:ascii="Verdana" w:hAnsi="Verdana"/>
          <w:sz w:val="20"/>
        </w:rPr>
        <w:t>RODOLFO ANTÔNIO DA SILVA NETO</w:t>
      </w:r>
    </w:p>
    <w:p>
      <w:pPr>
        <w:pStyle w:val="Normal"/>
        <w:spacing w:lineRule="auto" w:line="240"/>
        <w:rPr/>
      </w:pPr>
      <w:r>
        <w:rPr>
          <w:rFonts w:ascii="Verdana" w:hAnsi="Verdana"/>
          <w:sz w:val="20"/>
        </w:rPr>
        <w:t>Agente de Serviços Técnicos – Portaria n° 9.965/2025</w:t>
      </w:r>
    </w:p>
    <w:p>
      <w:pPr>
        <w:pStyle w:val="Normal"/>
        <w:spacing w:lineRule="auto" w:line="240"/>
        <w:jc w:val="both"/>
        <w:rPr/>
      </w:pPr>
      <w:r>
        <w:rPr>
          <w:rFonts w:cs="Arial" w:ascii="Verdana" w:hAnsi="Verdana"/>
          <w:sz w:val="20"/>
        </w:rPr>
        <w:t>Mat. nº 000406</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cs="Arial" w:ascii="Verdana" w:hAnsi="Verdana"/>
          <w:sz w:val="20"/>
        </w:rPr>
        <w:t>RUTH BARBARA DA SILWA NASCIMENTO</w:t>
      </w:r>
    </w:p>
    <w:p>
      <w:pPr>
        <w:pStyle w:val="Normal"/>
        <w:spacing w:lineRule="auto" w:line="240"/>
        <w:jc w:val="both"/>
        <w:rPr/>
      </w:pPr>
      <w:r>
        <w:rPr>
          <w:rFonts w:cs="Arial" w:ascii="Verdana" w:hAnsi="Verdana"/>
          <w:sz w:val="20"/>
        </w:rPr>
        <w:t>Agente de Serviços Técnicos - Decreto n° 4.816/2025.</w:t>
      </w:r>
    </w:p>
    <w:p>
      <w:pPr>
        <w:pStyle w:val="Normal"/>
        <w:spacing w:lineRule="auto" w:line="240"/>
        <w:jc w:val="both"/>
        <w:rPr/>
      </w:pPr>
      <w:r>
        <w:rPr>
          <w:rFonts w:cs="Arial" w:ascii="Verdana" w:hAnsi="Verdana"/>
          <w:sz w:val="20"/>
        </w:rPr>
        <w:t>Mat. nº 002983</w:t>
      </w:r>
      <w:bookmarkStart w:id="15" w:name="art122%252525252525252525252525252525252"/>
      <w:bookmarkStart w:id="16" w:name="art116_Copia_1"/>
      <w:bookmarkEnd w:id="15"/>
      <w:bookmarkEnd w:id="16"/>
    </w:p>
    <w:p>
      <w:pPr>
        <w:pStyle w:val="Normal"/>
        <w:spacing w:lineRule="auto" w:line="240"/>
        <w:rPr>
          <w:rFonts w:ascii="Verdana" w:hAnsi="Verdana"/>
          <w:sz w:val="20"/>
        </w:rPr>
      </w:pPr>
      <w:r>
        <w:rPr>
          <w:rFonts w:ascii="Verdana" w:hAnsi="Verdana"/>
          <w:sz w:val="20"/>
        </w:rPr>
      </w:r>
      <w:bookmarkStart w:id="17" w:name="_GoBack31121_Copia_1"/>
      <w:bookmarkStart w:id="18" w:name="_GoBack311211_Copia_1"/>
      <w:bookmarkStart w:id="19" w:name="art122%252525252525252525252525252525251"/>
      <w:bookmarkStart w:id="20" w:name="art122%252525252525252525252525252525253"/>
      <w:bookmarkStart w:id="21" w:name="art122%252525252525252525252525252525254"/>
      <w:bookmarkStart w:id="22" w:name="art122%252525252525252525252525252525255"/>
      <w:bookmarkStart w:id="23" w:name="art122%252525252525252525252525252525256"/>
      <w:bookmarkStart w:id="24" w:name="art122%252525252525252525252525252525257"/>
      <w:bookmarkStart w:id="25" w:name="_GoBack11_Copia_1"/>
      <w:bookmarkStart w:id="26" w:name="_GoBack2_Copia_1"/>
      <w:bookmarkStart w:id="27" w:name="art122%252525252525252525252525252525258"/>
      <w:bookmarkStart w:id="28" w:name="_GoBack11_Copia_1_Copia_1"/>
      <w:bookmarkStart w:id="29" w:name="_GoBack1_Copia_1_Copia_1"/>
      <w:bookmarkStart w:id="30" w:name="_GoBack_Copia_1_Copia_1"/>
      <w:bookmarkStart w:id="31" w:name="art122%252525252525252525252525252525259"/>
      <w:bookmarkStart w:id="32" w:name="_GoBack31121_Copia_1"/>
      <w:bookmarkStart w:id="33" w:name="_GoBack311211_Copia_1"/>
      <w:bookmarkStart w:id="34" w:name="art122%252525252525252525252525252525251"/>
      <w:bookmarkStart w:id="35" w:name="art122%252525252525252525252525252525253"/>
      <w:bookmarkStart w:id="36" w:name="art122%252525252525252525252525252525254"/>
      <w:bookmarkStart w:id="37" w:name="art122%252525252525252525252525252525255"/>
      <w:bookmarkStart w:id="38" w:name="art122%252525252525252525252525252525256"/>
      <w:bookmarkStart w:id="39" w:name="art122%252525252525252525252525252525257"/>
      <w:bookmarkStart w:id="40" w:name="_GoBack11_Copia_1"/>
      <w:bookmarkStart w:id="41" w:name="_GoBack2_Copia_1"/>
      <w:bookmarkStart w:id="42" w:name="art122%252525252525252525252525252525258"/>
      <w:bookmarkStart w:id="43" w:name="_GoBack11_Copia_1_Copia_1"/>
      <w:bookmarkStart w:id="44" w:name="_GoBack1_Copia_1_Copia_1"/>
      <w:bookmarkStart w:id="45" w:name="_GoBack_Copia_1_Copia_1"/>
      <w:bookmarkStart w:id="46" w:name="art122%252525252525252525252525252525259"/>
      <w:bookmarkEnd w:id="0"/>
      <w:bookmarkEnd w:id="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1">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1">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Heading1">
    <w:name w:val="Heading 1"/>
    <w:basedOn w:val="Normal"/>
    <w:next w:val="Normal"/>
    <w:link w:val="Ttulo1Char"/>
    <w:uiPriority w:val="9"/>
    <w:qFormat/>
    <w:pPr>
      <w:keepNext w:val="true"/>
      <w:keepLines/>
      <w:spacing w:before="480" w:after="0"/>
      <w:outlineLvl w:val="0"/>
    </w:pPr>
    <w:rPr>
      <w:rFonts w:ascii="Cambria" w:hAnsi="Cambria" w:eastAsia="Calibri" w:cs="Tahoma"/>
      <w:b/>
      <w:bCs/>
      <w:color w:themeColor="accent1" w:themeShade="bf" w:val="117A02"/>
      <w:sz w:val="28"/>
      <w:szCs w:val="28"/>
    </w:rPr>
  </w:style>
  <w:style w:type="paragraph" w:styleId="Heading2">
    <w:name w:val="Heading 2"/>
    <w:basedOn w:val="LO-normal"/>
    <w:next w:val="LO-normal"/>
    <w:uiPriority w:val="9"/>
    <w:semiHidden/>
    <w:unhideWhenUsed/>
    <w:qFormat/>
    <w:pPr>
      <w:keepNext w:val="true"/>
      <w:keepLines/>
      <w:outlineLvl w:val="1"/>
    </w:pPr>
    <w:rPr>
      <w:b/>
    </w:rPr>
  </w:style>
  <w:style w:type="paragraph" w:styleId="Heading3">
    <w:name w:val="Heading 3"/>
    <w:basedOn w:val="LO-normal"/>
    <w:next w:val="LO-normal"/>
    <w:uiPriority w:val="9"/>
    <w:semiHidden/>
    <w:unhideWhenUsed/>
    <w:qFormat/>
    <w:pPr>
      <w:keepNext w:val="true"/>
      <w:keepLines/>
      <w:outlineLvl w:val="2"/>
    </w:pPr>
    <w:rPr>
      <w:i/>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CabealhoChar" w:customStyle="1">
    <w:name w:val="Cabeçalho Char"/>
    <w:basedOn w:val="DefaultParagraphFont"/>
    <w:qFormat/>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
    <w:name w:val="Hyperlink"/>
    <w:rPr>
      <w:color w:val="000080"/>
      <w:u w:val="single"/>
    </w:rPr>
  </w:style>
  <w:style w:type="character" w:styleId="CorpodetextoChar" w:customStyle="1">
    <w:name w:val="Corpo de texto Char"/>
    <w:basedOn w:val="DefaultParagraphFont"/>
    <w:qFormat/>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rPr>
      <w:rFonts w:ascii="Arial" w:hAnsi="Arial" w:eastAsia="Calibri" w:cs="Arial"/>
      <w:b/>
      <w:color w:val="000000"/>
      <w:sz w:val="32"/>
      <w:szCs w:val="32"/>
    </w:rPr>
  </w:style>
  <w:style w:type="character" w:styleId="Nivel2Char" w:customStyle="1">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qFormat/>
    <w:rPr>
      <w:rFonts w:ascii="Cambria" w:hAnsi="Cambria" w:eastAsia="Calibri" w:cs="Tahoma"/>
      <w:b/>
      <w:bCs/>
      <w:color w:themeColor="accent1" w:themeShade="bf" w:val="117A02"/>
      <w:sz w:val="28"/>
      <w:szCs w:val="28"/>
      <w:lang w:eastAsia="pt-BR"/>
    </w:rPr>
  </w:style>
  <w:style w:type="character" w:styleId="Marcadores" w:customStyle="1">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customStyle="1">
    <w:name w:val="WW8Num9z0"/>
    <w:qFormat/>
    <w:rPr>
      <w:b/>
      <w:bCs/>
    </w:rPr>
  </w:style>
  <w:style w:type="character" w:styleId="WW8Num10z0" w:customStyle="1">
    <w:name w:val="WW8Num10z0"/>
    <w:qFormat/>
    <w:rPr>
      <w:b/>
      <w:bCs/>
    </w:rPr>
  </w:style>
  <w:style w:type="character" w:styleId="Hyperlink1" w:customStyle="1">
    <w:name w:val="Hyperlink1"/>
    <w:qFormat/>
    <w:rPr>
      <w:color w:val="000080"/>
      <w:u w:val="single"/>
    </w:rPr>
  </w:style>
  <w:style w:type="paragraph" w:styleId="Ttulo" w:customStyle="1">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uiPriority w:val="10"/>
    <w:qFormat/>
    <w:pPr>
      <w:keepNext w:val="true"/>
      <w:spacing w:before="240" w:after="120"/>
    </w:pPr>
    <w:rPr>
      <w:rFonts w:ascii="Liberation Sans" w:hAnsi="Liberation Sans" w:eastAsia="Microsoft YaHei" w:cs="Lucida Sans"/>
      <w:sz w:val="28"/>
      <w:szCs w:val="28"/>
    </w:rPr>
  </w:style>
  <w:style w:type="paragraph" w:styleId="caption1" w:customStyle="1">
    <w:name w:val="caption1"/>
    <w:basedOn w:val="Normal"/>
    <w:qFormat/>
    <w:pPr>
      <w:suppressLineNumbers/>
      <w:spacing w:before="120" w:after="120"/>
    </w:pPr>
    <w:rPr>
      <w:rFonts w:cs="Lucida Sans"/>
      <w:i/>
      <w:iCs/>
      <w:szCs w:val="24"/>
    </w:rPr>
  </w:style>
  <w:style w:type="paragraph" w:styleId="caption11" w:customStyle="1">
    <w:name w:val="caption11"/>
    <w:basedOn w:val="Normal"/>
    <w:qFormat/>
    <w:pPr>
      <w:suppressLineNumbers/>
      <w:spacing w:before="120" w:after="120"/>
    </w:pPr>
    <w:rPr>
      <w:rFonts w:cs="Lucida Sans"/>
      <w:i/>
      <w:iCs/>
      <w:szCs w:val="24"/>
    </w:rPr>
  </w:style>
  <w:style w:type="paragraph" w:styleId="caption111" w:customStyle="1">
    <w:name w:val="caption11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name w:val="Cabeçalho e rodapé8"/>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lineRule="auto" w:line="276" w:before="0" w:after="200"/>
      <w:ind w:left="720"/>
      <w:contextualSpacing/>
    </w:pPr>
    <w:rPr>
      <w:rFonts w:ascii="Calibri" w:hAnsi="Calibri" w:eastAsia="Calibri" w:cs="Calibri"/>
      <w:sz w:val="22"/>
      <w:szCs w:val="22"/>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eastAsia="pt-BR" w:val="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pPr>
      <w:suppressAutoHyphens w:val="false"/>
      <w:spacing w:lineRule="auto" w:line="276" w:before="480" w:after="120"/>
      <w:jc w:val="both"/>
      <w:outlineLvl w:val="9"/>
    </w:pPr>
    <w:rPr>
      <w:rFonts w:ascii="Arial" w:hAnsi="Arial" w:cs="Arial"/>
      <w:bCs w:val="false"/>
      <w:sz w:val="32"/>
      <w:szCs w:val="32"/>
      <w:lang w:eastAsia="en-US"/>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citao2" w:customStyle="1">
    <w:name w:val="citação 2"/>
    <w:basedOn w:val="Quote"/>
    <w:qFormat/>
    <w:pPr>
      <w:suppressAutoHyphens w:val="true"/>
    </w:pPr>
    <w:rPr>
      <w:kern w:val="2"/>
      <w:szCs w:val="20"/>
      <w:lang w:eastAsia="zh-CN" w:bidi="hi-IN"/>
    </w:rPr>
  </w:style>
  <w:style w:type="paragraph" w:styleId="Nivel2" w:customStyle="1">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customStyle="1">
    <w:name w:val="Nivel 3"/>
    <w:basedOn w:val="ListParagraph"/>
    <w:qFormat/>
    <w:pPr>
      <w:tabs>
        <w:tab w:val="clear" w:pos="708"/>
        <w:tab w:val="left" w:pos="360" w:leader="none"/>
      </w:tabs>
      <w:suppressAutoHyphens w:val="false"/>
      <w:spacing w:before="120" w:after="120"/>
      <w:ind w:left="425"/>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Contedodatabela" w:customStyle="1">
    <w:name w:val="Conteúdo da tabela"/>
    <w:basedOn w:val="Normal"/>
    <w:qFormat/>
    <w:pPr>
      <w:widowControl w:val="false"/>
      <w:suppressLineNumbers/>
    </w:pPr>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eastAsia="zh-CN" w:val="pt-BR" w:bidi="ar-SA"/>
    </w:rPr>
  </w:style>
  <w:style w:type="paragraph" w:styleId="Ttulodetabela" w:customStyle="1">
    <w:name w:val="Título de tabela"/>
    <w:basedOn w:val="Contedodatabela"/>
    <w:qFormat/>
    <w:pPr>
      <w:jc w:val="center"/>
    </w:pPr>
    <w:rPr>
      <w:b/>
      <w:bCs/>
    </w:rPr>
  </w:style>
  <w:style w:type="paragraph" w:styleId="Nivel01" w:customStyle="1">
    <w:name w:val="Nivel 01"/>
    <w:basedOn w:val="Heading1"/>
    <w:qFormat/>
    <w:pPr>
      <w:tabs>
        <w:tab w:val="clear" w:pos="708"/>
        <w:tab w:val="left" w:pos="567" w:leader="none"/>
      </w:tabs>
      <w:spacing w:before="240" w:after="0"/>
      <w:jc w:val="both"/>
      <w:outlineLvl w:val="9"/>
    </w:pPr>
    <w:rPr>
      <w:rFonts w:ascii="Ecofont_Spranq_eco_Sans" w:hAnsi="Ecofont_Spranq_eco_Sans" w:eastAsia="MS Gothic" w:cs="Times New Roman"/>
      <w:sz w:val="20"/>
      <w:szCs w:val="20"/>
    </w:rPr>
  </w:style>
  <w:style w:type="paragraph" w:styleId="caption2" w:customStyle="1">
    <w:name w:val="caption2"/>
    <w:basedOn w:val="Normal"/>
    <w:qFormat/>
    <w:pPr>
      <w:suppressLineNumbers/>
      <w:spacing w:before="120" w:after="120"/>
    </w:pPr>
    <w:rPr>
      <w:rFonts w:cs="Lucida Sans"/>
      <w:i/>
      <w:iCs/>
      <w:szCs w:val="24"/>
    </w:rPr>
  </w:style>
  <w:style w:type="paragraph" w:styleId="caption3" w:customStyle="1">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styleId="LO-normal" w:customStyle="1">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customStyle="1">
    <w:name w:val="WW-Texto simples"/>
    <w:basedOn w:val="Normal"/>
    <w:qFormat/>
    <w:pPr/>
    <w:rPr>
      <w:rFonts w:ascii="Courier New" w:hAnsi="Courier New" w:cs="Courier New"/>
      <w:sz w:val="20"/>
    </w:rPr>
  </w:style>
  <w:style w:type="paragraph" w:styleId="Contedodoquadro" w:customStyle="1">
    <w:name w:val="Conteúdo do quadro"/>
    <w:basedOn w:val="Normal"/>
    <w:qFormat/>
    <w:pPr/>
    <w:rPr/>
  </w:style>
  <w:style w:type="paragraph" w:styleId="caption4" w:customStyle="1">
    <w:name w:val="caption4"/>
    <w:basedOn w:val="Normal"/>
    <w:qFormat/>
    <w:pPr>
      <w:suppressLineNumbers/>
      <w:spacing w:before="120" w:after="120"/>
    </w:pPr>
    <w:rPr>
      <w:rFonts w:cs="Lucida Sans"/>
      <w:i/>
      <w:iCs/>
      <w:szCs w:val="24"/>
    </w:rPr>
  </w:style>
  <w:style w:type="paragraph" w:styleId="normal1" w:customStyle="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2" w:customStyle="1">
    <w:name w:val="normal2"/>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ivel2-Opcional" w:customStyle="1">
    <w:name w:val="Nivel 2-Opcional"/>
    <w:basedOn w:val="Normal"/>
    <w:qFormat/>
    <w:pPr>
      <w:numPr>
        <w:ilvl w:val="1"/>
        <w:numId w:val="2"/>
      </w:numPr>
      <w:shd w:val="clear" w:color="auto" w:fill="7A2E02" w:themeFill="accent3" w:themeFillShade="bf"/>
      <w:spacing w:lineRule="auto" w:line="276" w:before="120" w:after="120"/>
      <w:ind w:hanging="0" w:left="0"/>
      <w:jc w:val="both"/>
    </w:pPr>
    <w:rPr>
      <w:rFonts w:ascii="Arial" w:hAnsi="Arial" w:eastAsia="Arial" w:cs="Arial"/>
      <w:i/>
      <w:color w:val="FF0000"/>
      <w:sz w:val="20"/>
    </w:rPr>
  </w:style>
  <w:style w:type="paragraph" w:styleId="Nvel02" w:customStyle="1">
    <w:name w:val="Nível 02"/>
    <w:basedOn w:val="Nivel2-Opcional"/>
    <w:qFormat/>
    <w:pPr>
      <w:shd w:val="clear" w:color="auto" w:fill="auto"/>
    </w:pPr>
    <w:rPr>
      <w:i w:val="false"/>
      <w:iCs/>
      <w:color w:val="auto"/>
    </w:rPr>
  </w:style>
  <w:style w:type="paragraph" w:styleId="normal3" w:customStyle="1">
    <w:name w:val="normal3"/>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Semlista" w:customStyle="1">
    <w:name w:val="Sem lista"/>
    <w:qFormat/>
  </w:style>
  <w:style w:type="numbering" w:styleId="WW8Num10" w:customStyle="1">
    <w:name w:val="WW8Num10"/>
    <w:qFormat/>
  </w:style>
  <w:style w:type="numbering" w:styleId="WW8Num9" w:customStyle="1">
    <w:name w:val="WW8Num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sefaz.es.gov.br/" TargetMode="External"/><Relationship Id="rId3" Type="http://schemas.openxmlformats.org/officeDocument/2006/relationships/hyperlink" Target="http://www.tst.jus.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982</TotalTime>
  <Application>LibreOffice/24.2.7.2$Windows_X86_64 LibreOffice_project/ee3885777aa7032db5a9b65deec9457448a91162</Application>
  <AppVersion>15.0000</AppVersion>
  <Pages>10</Pages>
  <Words>4676</Words>
  <Characters>27451</Characters>
  <CharactersWithSpaces>31961</CharactersWithSpaces>
  <Paragraphs>219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2026-03-13T15:57:00Z</dcterms:created>
  <dc:creator>Ruth Barbara da Silwa Nascimento</dc:creator>
  <dc:description/>
  <dc:language>pt-BR</dc:language>
  <cp:lastModifiedBy/>
  <cp:lastPrinted>2026-03-16T15:18:38Z</cp:lastPrinted>
  <dcterms:modified xsi:type="dcterms:W3CDTF">2026-03-16T15:18:50Z</dcterms:modified>
  <cp:revision>174</cp:revision>
  <dc:subject/>
  <dc:title/>
</cp:coreProperties>
</file>

<file path=docProps/custom.xml><?xml version="1.0" encoding="utf-8"?>
<Properties xmlns="http://schemas.openxmlformats.org/officeDocument/2006/custom-properties" xmlns:vt="http://schemas.openxmlformats.org/officeDocument/2006/docPropsVTypes"/>
</file>